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500" w:lineRule="exact"/>
        <w:rPr>
          <w:rFonts w:cs="Tahoma"/>
          <w:color w:val="000000"/>
          <w:sz w:val="18"/>
          <w:szCs w:val="18"/>
        </w:rPr>
      </w:pPr>
      <w:bookmarkStart w:id="46" w:name="_GoBack"/>
      <w:bookmarkEnd w:id="46"/>
    </w:p>
    <w:p>
      <w:pPr>
        <w:widowControl w:val="0"/>
        <w:autoSpaceDE w:val="0"/>
        <w:autoSpaceDN w:val="0"/>
        <w:adjustRightInd w:val="0"/>
        <w:rPr>
          <w:rFonts w:ascii="微软雅黑" w:eastAsia="微软雅黑" w:cs="微软雅黑"/>
          <w:color w:val="000000"/>
          <w:sz w:val="18"/>
          <w:szCs w:val="18"/>
        </w:rPr>
      </w:pPr>
      <w:r>
        <w:rPr>
          <w:rFonts w:cs="Tahoma"/>
          <w:sz w:val="18"/>
          <w:szCs w:val="18"/>
        </w:rPr>
        <w:drawing>
          <wp:inline distT="0" distB="0" distL="0" distR="0">
            <wp:extent cx="927100" cy="859790"/>
            <wp:effectExtent l="0" t="0" r="6350" b="0"/>
            <wp:docPr id="308" name="图片 308" descr="C:\Users\jingu\AppData\Local\Temp\15442639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C:\Users\jingu\AppData\Local\Temp\1544263966(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927731" cy="860019"/>
                    </a:xfrm>
                    <a:prstGeom prst="rect">
                      <a:avLst/>
                    </a:prstGeom>
                    <a:noFill/>
                    <a:ln>
                      <a:noFill/>
                    </a:ln>
                  </pic:spPr>
                </pic:pic>
              </a:graphicData>
            </a:graphic>
          </wp:inline>
        </w:drawing>
      </w:r>
    </w:p>
    <w:p>
      <w:pPr>
        <w:widowControl w:val="0"/>
        <w:autoSpaceDE w:val="0"/>
        <w:autoSpaceDN w:val="0"/>
        <w:adjustRightInd w:val="0"/>
        <w:rPr>
          <w:rFonts w:ascii="微软雅黑" w:eastAsia="微软雅黑" w:cs="微软雅黑"/>
          <w:color w:val="000000"/>
          <w:sz w:val="24"/>
          <w:szCs w:val="24"/>
        </w:rPr>
      </w:pPr>
    </w:p>
    <w:p>
      <w:pPr>
        <w:widowControl w:val="0"/>
        <w:autoSpaceDE w:val="0"/>
        <w:autoSpaceDN w:val="0"/>
        <w:adjustRightInd w:val="0"/>
        <w:jc w:val="center"/>
        <w:rPr>
          <w:rFonts w:ascii="微软雅黑" w:eastAsia="微软雅黑" w:cs="微软雅黑"/>
          <w:color w:val="000000"/>
          <w:sz w:val="72"/>
          <w:szCs w:val="72"/>
        </w:rPr>
      </w:pPr>
      <w:r>
        <w:rPr>
          <w:rFonts w:hint="eastAsia" w:ascii="微软雅黑" w:eastAsia="微软雅黑" w:cs="微软雅黑"/>
          <w:b/>
          <w:bCs/>
          <w:color w:val="000000"/>
          <w:sz w:val="72"/>
          <w:szCs w:val="72"/>
        </w:rPr>
        <w:t>重庆医药高等专科学校</w:t>
      </w:r>
    </w:p>
    <w:p>
      <w:pPr>
        <w:spacing w:before="156" w:beforeLines="50" w:line="500" w:lineRule="exact"/>
        <w:jc w:val="center"/>
        <w:rPr>
          <w:rFonts w:ascii="微软雅黑" w:eastAsia="微软雅黑" w:cs="微软雅黑"/>
          <w:b/>
          <w:bCs/>
          <w:color w:val="000000"/>
          <w:sz w:val="48"/>
          <w:szCs w:val="48"/>
        </w:rPr>
      </w:pPr>
      <w:r>
        <w:rPr>
          <w:rFonts w:ascii="微软雅黑" w:eastAsia="微软雅黑" w:cs="微软雅黑"/>
          <w:b/>
          <w:bCs/>
          <w:color w:val="000000"/>
          <w:sz w:val="48"/>
          <w:szCs w:val="48"/>
        </w:rPr>
        <w:t>201</w:t>
      </w:r>
      <w:r>
        <w:rPr>
          <w:rFonts w:hint="eastAsia" w:ascii="微软雅黑" w:eastAsia="微软雅黑" w:cs="微软雅黑"/>
          <w:b/>
          <w:bCs/>
          <w:color w:val="000000"/>
          <w:sz w:val="48"/>
          <w:szCs w:val="48"/>
        </w:rPr>
        <w:t>8届毕业生就业质量年度报告</w:t>
      </w:r>
    </w:p>
    <w:p>
      <w:pPr>
        <w:ind w:leftChars="-514" w:hanging="1079" w:hangingChars="514"/>
      </w:pPr>
    </w:p>
    <w:p>
      <w:pPr>
        <w:jc w:val="center"/>
        <w:rPr>
          <w:rFonts w:cs="Tahoma"/>
          <w:sz w:val="24"/>
          <w:szCs w:val="24"/>
        </w:rPr>
      </w:pPr>
    </w:p>
    <w:p>
      <w:pPr>
        <w:ind w:left="-86" w:leftChars="-513" w:hanging="991" w:hangingChars="472"/>
      </w:pPr>
    </w:p>
    <w:p/>
    <w:p>
      <w:pPr>
        <w:ind w:left="-86" w:leftChars="-513" w:hanging="991" w:hangingChars="472"/>
      </w:pPr>
    </w:p>
    <w:p>
      <w:pPr>
        <w:ind w:leftChars="-514" w:hanging="1079" w:hangingChars="514"/>
        <w:rPr>
          <w:rFonts w:cs="Tahoma"/>
          <w:color w:val="000000"/>
          <w:sz w:val="24"/>
          <w:szCs w:val="24"/>
        </w:rPr>
      </w:pPr>
      <w:r>
        <w:drawing>
          <wp:inline distT="0" distB="0" distL="0" distR="0">
            <wp:extent cx="8326755" cy="2637155"/>
            <wp:effectExtent l="0" t="0" r="0" b="0"/>
            <wp:docPr id="310" name="图片 310" descr="https://timgsa.baidu.com/timg?image&amp;quality=80&amp;size=b9999_10000&amp;sec=1544274964292&amp;di=093ca36b724ef36e186ff8314e5fc22b&amp;imgtype=0&amp;src=http%3A%2F%2Fpic.51zhutu.com%2Ffad%2Fqal%2Fald%2Fg%2F87f5be2f8dc347a78f4c48f7f406d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https://timgsa.baidu.com/timg?image&amp;quality=80&amp;size=b9999_10000&amp;sec=1544274964292&amp;di=093ca36b724ef36e186ff8314e5fc22b&amp;imgtype=0&amp;src=http%3A%2F%2Fpic.51zhutu.com%2Ffad%2Fqal%2Fald%2Fg%2F87f5be2f8dc347a78f4c48f7f406dbe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8326799" cy="2637183"/>
                    </a:xfrm>
                    <a:prstGeom prst="rect">
                      <a:avLst/>
                    </a:prstGeom>
                    <a:noFill/>
                    <a:ln>
                      <a:noFill/>
                    </a:ln>
                  </pic:spPr>
                </pic:pic>
              </a:graphicData>
            </a:graphic>
          </wp:inline>
        </w:drawing>
      </w:r>
    </w:p>
    <w:p>
      <w:pPr>
        <w:spacing w:before="156" w:beforeLines="50" w:line="500" w:lineRule="exact"/>
        <w:jc w:val="center"/>
        <w:rPr>
          <w:rFonts w:cs="Tahoma"/>
          <w:b/>
          <w:color w:val="000000"/>
          <w:sz w:val="24"/>
          <w:szCs w:val="24"/>
        </w:rPr>
      </w:pPr>
      <w:r>
        <w:rPr>
          <w:rFonts w:hint="eastAsia" w:cs="Tahoma"/>
          <w:b/>
          <w:color w:val="000000"/>
          <w:sz w:val="24"/>
          <w:szCs w:val="24"/>
        </w:rPr>
        <w:t>成都泽奥市场调查有限公司  编</w:t>
      </w:r>
    </w:p>
    <w:sdt>
      <w:sdtPr>
        <w:rPr>
          <w:rFonts w:asciiTheme="minorHAnsi" w:hAnsiTheme="minorHAnsi"/>
          <w:color w:val="auto"/>
          <w:sz w:val="21"/>
          <w:szCs w:val="21"/>
          <w:lang w:val="zh-CN"/>
        </w:rPr>
        <w:id w:val="552966913"/>
        <w:docPartObj>
          <w:docPartGallery w:val="Table of Contents"/>
          <w:docPartUnique/>
        </w:docPartObj>
      </w:sdtPr>
      <w:sdtEndPr>
        <w:rPr>
          <w:rFonts w:asciiTheme="minorHAnsi" w:hAnsiTheme="minorHAnsi"/>
          <w:b/>
          <w:bCs/>
          <w:color w:val="auto"/>
          <w:sz w:val="21"/>
          <w:szCs w:val="21"/>
          <w:lang w:val="zh-CN"/>
        </w:rPr>
      </w:sdtEndPr>
      <w:sdtContent>
        <w:p>
          <w:pPr>
            <w:pStyle w:val="76"/>
            <w:jc w:val="center"/>
            <w:rPr>
              <w:rFonts w:ascii="微软雅黑" w:hAnsi="微软雅黑" w:eastAsia="微软雅黑"/>
              <w:b/>
              <w:sz w:val="32"/>
              <w:szCs w:val="32"/>
            </w:rPr>
          </w:pPr>
          <w:r>
            <w:rPr>
              <w:rFonts w:ascii="微软雅黑" w:hAnsi="微软雅黑" w:eastAsia="微软雅黑"/>
              <w:b/>
              <w:sz w:val="32"/>
              <w:szCs w:val="32"/>
              <w:lang w:val="zh-CN"/>
            </w:rPr>
            <w:t>目录</w:t>
          </w:r>
        </w:p>
        <w:p>
          <w:pPr>
            <w:pStyle w:val="18"/>
            <w:tabs>
              <w:tab w:val="right" w:leader="dot" w:pos="9736"/>
            </w:tabs>
            <w:rPr>
              <w:kern w:val="2"/>
              <w:sz w:val="21"/>
            </w:rPr>
          </w:pPr>
          <w:r>
            <w:fldChar w:fldCharType="begin"/>
          </w:r>
          <w:r>
            <w:instrText xml:space="preserve"> TOC \o "1-3" \h \z \u </w:instrText>
          </w:r>
          <w:r>
            <w:fldChar w:fldCharType="separate"/>
          </w:r>
          <w:r>
            <w:fldChar w:fldCharType="begin"/>
          </w:r>
          <w:r>
            <w:instrText xml:space="preserve"> HYPERLINK \l "_Toc533510620" </w:instrText>
          </w:r>
          <w:r>
            <w:fldChar w:fldCharType="separate"/>
          </w:r>
          <w:r>
            <w:rPr>
              <w:rStyle w:val="27"/>
              <w:rFonts w:hint="eastAsia" w:ascii="微软雅黑" w:hAnsi="微软雅黑" w:eastAsia="微软雅黑"/>
              <w:b/>
            </w:rPr>
            <w:t>一、学校概况</w:t>
          </w:r>
          <w:r>
            <w:tab/>
          </w:r>
          <w:r>
            <w:fldChar w:fldCharType="begin"/>
          </w:r>
          <w:r>
            <w:instrText xml:space="preserve"> PAGEREF _Toc533510620 \h </w:instrText>
          </w:r>
          <w:r>
            <w:fldChar w:fldCharType="separate"/>
          </w:r>
          <w:r>
            <w:t>4</w:t>
          </w:r>
          <w:r>
            <w:fldChar w:fldCharType="end"/>
          </w:r>
          <w:r>
            <w:fldChar w:fldCharType="end"/>
          </w:r>
        </w:p>
        <w:p>
          <w:pPr>
            <w:pStyle w:val="18"/>
            <w:tabs>
              <w:tab w:val="right" w:leader="dot" w:pos="9736"/>
            </w:tabs>
            <w:rPr>
              <w:kern w:val="2"/>
              <w:sz w:val="21"/>
            </w:rPr>
          </w:pPr>
          <w:r>
            <w:fldChar w:fldCharType="begin"/>
          </w:r>
          <w:r>
            <w:instrText xml:space="preserve"> HYPERLINK \l "_Toc533510621" </w:instrText>
          </w:r>
          <w:r>
            <w:fldChar w:fldCharType="separate"/>
          </w:r>
          <w:r>
            <w:rPr>
              <w:rStyle w:val="27"/>
              <w:rFonts w:hint="eastAsia" w:ascii="微软雅黑" w:hAnsi="微软雅黑" w:eastAsia="微软雅黑"/>
              <w:b/>
            </w:rPr>
            <w:t>二、报告说明</w:t>
          </w:r>
          <w:r>
            <w:tab/>
          </w:r>
          <w:r>
            <w:fldChar w:fldCharType="begin"/>
          </w:r>
          <w:r>
            <w:instrText xml:space="preserve"> PAGEREF _Toc533510621 \h </w:instrText>
          </w:r>
          <w:r>
            <w:fldChar w:fldCharType="separate"/>
          </w:r>
          <w:r>
            <w:t>7</w:t>
          </w:r>
          <w:r>
            <w:fldChar w:fldCharType="end"/>
          </w:r>
          <w:r>
            <w:fldChar w:fldCharType="end"/>
          </w:r>
        </w:p>
        <w:p>
          <w:pPr>
            <w:pStyle w:val="18"/>
            <w:tabs>
              <w:tab w:val="right" w:leader="dot" w:pos="9736"/>
            </w:tabs>
            <w:rPr>
              <w:kern w:val="2"/>
              <w:sz w:val="21"/>
            </w:rPr>
          </w:pPr>
          <w:r>
            <w:fldChar w:fldCharType="begin"/>
          </w:r>
          <w:r>
            <w:instrText xml:space="preserve"> HYPERLINK \l "_Toc533510622" </w:instrText>
          </w:r>
          <w:r>
            <w:fldChar w:fldCharType="separate"/>
          </w:r>
          <w:r>
            <w:rPr>
              <w:rStyle w:val="27"/>
              <w:rFonts w:hint="eastAsia" w:ascii="微软雅黑" w:hAnsi="微软雅黑" w:eastAsia="微软雅黑"/>
              <w:b/>
            </w:rPr>
            <w:t>第一篇：毕业生就业基本情况</w:t>
          </w:r>
          <w:r>
            <w:tab/>
          </w:r>
          <w:r>
            <w:fldChar w:fldCharType="begin"/>
          </w:r>
          <w:r>
            <w:instrText xml:space="preserve"> PAGEREF _Toc533510622 \h </w:instrText>
          </w:r>
          <w:r>
            <w:fldChar w:fldCharType="separate"/>
          </w:r>
          <w:r>
            <w:t>8</w:t>
          </w:r>
          <w:r>
            <w:fldChar w:fldCharType="end"/>
          </w:r>
          <w:r>
            <w:fldChar w:fldCharType="end"/>
          </w:r>
        </w:p>
        <w:p>
          <w:pPr>
            <w:pStyle w:val="21"/>
            <w:tabs>
              <w:tab w:val="right" w:leader="dot" w:pos="9736"/>
            </w:tabs>
            <w:rPr>
              <w:kern w:val="2"/>
              <w:sz w:val="21"/>
            </w:rPr>
          </w:pPr>
          <w:r>
            <w:fldChar w:fldCharType="begin"/>
          </w:r>
          <w:r>
            <w:instrText xml:space="preserve"> HYPERLINK \l "_Toc533510623" </w:instrText>
          </w:r>
          <w:r>
            <w:fldChar w:fldCharType="separate"/>
          </w:r>
          <w:r>
            <w:rPr>
              <w:rStyle w:val="27"/>
              <w:rFonts w:hint="eastAsia"/>
            </w:rPr>
            <w:t>一、毕业生的规模和结构</w:t>
          </w:r>
          <w:r>
            <w:tab/>
          </w:r>
          <w:r>
            <w:fldChar w:fldCharType="begin"/>
          </w:r>
          <w:r>
            <w:instrText xml:space="preserve"> PAGEREF _Toc533510623 \h </w:instrText>
          </w:r>
          <w:r>
            <w:fldChar w:fldCharType="separate"/>
          </w:r>
          <w:r>
            <w:t>8</w:t>
          </w:r>
          <w:r>
            <w:fldChar w:fldCharType="end"/>
          </w:r>
          <w:r>
            <w:fldChar w:fldCharType="end"/>
          </w:r>
        </w:p>
        <w:p>
          <w:pPr>
            <w:pStyle w:val="14"/>
            <w:tabs>
              <w:tab w:val="right" w:leader="dot" w:pos="9736"/>
            </w:tabs>
            <w:rPr>
              <w:kern w:val="2"/>
              <w:sz w:val="21"/>
            </w:rPr>
          </w:pPr>
          <w:r>
            <w:fldChar w:fldCharType="begin"/>
          </w:r>
          <w:r>
            <w:instrText xml:space="preserve"> HYPERLINK \l "_Toc533510624" </w:instrText>
          </w:r>
          <w:r>
            <w:fldChar w:fldCharType="separate"/>
          </w:r>
          <w:r>
            <w:rPr>
              <w:rStyle w:val="27"/>
              <w:rFonts w:hint="eastAsia"/>
            </w:rPr>
            <w:t>（一）总体规模</w:t>
          </w:r>
          <w:r>
            <w:tab/>
          </w:r>
          <w:r>
            <w:fldChar w:fldCharType="begin"/>
          </w:r>
          <w:r>
            <w:instrText xml:space="preserve"> PAGEREF _Toc533510624 \h </w:instrText>
          </w:r>
          <w:r>
            <w:fldChar w:fldCharType="separate"/>
          </w:r>
          <w:r>
            <w:t>8</w:t>
          </w:r>
          <w:r>
            <w:fldChar w:fldCharType="end"/>
          </w:r>
          <w:r>
            <w:fldChar w:fldCharType="end"/>
          </w:r>
        </w:p>
        <w:p>
          <w:pPr>
            <w:pStyle w:val="14"/>
            <w:tabs>
              <w:tab w:val="right" w:leader="dot" w:pos="9736"/>
            </w:tabs>
            <w:rPr>
              <w:kern w:val="2"/>
              <w:sz w:val="21"/>
            </w:rPr>
          </w:pPr>
          <w:r>
            <w:fldChar w:fldCharType="begin"/>
          </w:r>
          <w:r>
            <w:instrText xml:space="preserve"> HYPERLINK \l "_Toc533510625" </w:instrText>
          </w:r>
          <w:r>
            <w:fldChar w:fldCharType="separate"/>
          </w:r>
          <w:r>
            <w:rPr>
              <w:rStyle w:val="27"/>
              <w:rFonts w:hint="eastAsia"/>
            </w:rPr>
            <w:t>（二）结构分布</w:t>
          </w:r>
          <w:r>
            <w:tab/>
          </w:r>
          <w:r>
            <w:fldChar w:fldCharType="begin"/>
          </w:r>
          <w:r>
            <w:instrText xml:space="preserve"> PAGEREF _Toc533510625 \h </w:instrText>
          </w:r>
          <w:r>
            <w:fldChar w:fldCharType="separate"/>
          </w:r>
          <w:r>
            <w:t>8</w:t>
          </w:r>
          <w:r>
            <w:fldChar w:fldCharType="end"/>
          </w:r>
          <w:r>
            <w:fldChar w:fldCharType="end"/>
          </w:r>
        </w:p>
        <w:p>
          <w:pPr>
            <w:pStyle w:val="21"/>
            <w:tabs>
              <w:tab w:val="right" w:leader="dot" w:pos="9736"/>
            </w:tabs>
            <w:rPr>
              <w:kern w:val="2"/>
              <w:sz w:val="21"/>
            </w:rPr>
          </w:pPr>
          <w:r>
            <w:fldChar w:fldCharType="begin"/>
          </w:r>
          <w:r>
            <w:instrText xml:space="preserve"> HYPERLINK \l "_Toc533510626" </w:instrText>
          </w:r>
          <w:r>
            <w:fldChar w:fldCharType="separate"/>
          </w:r>
          <w:r>
            <w:rPr>
              <w:rStyle w:val="27"/>
              <w:rFonts w:hint="eastAsia"/>
            </w:rPr>
            <w:t>二、就业率及毕业去向</w:t>
          </w:r>
          <w:r>
            <w:tab/>
          </w:r>
          <w:r>
            <w:fldChar w:fldCharType="begin"/>
          </w:r>
          <w:r>
            <w:instrText xml:space="preserve"> PAGEREF _Toc533510626 \h </w:instrText>
          </w:r>
          <w:r>
            <w:fldChar w:fldCharType="separate"/>
          </w:r>
          <w:r>
            <w:t>10</w:t>
          </w:r>
          <w:r>
            <w:fldChar w:fldCharType="end"/>
          </w:r>
          <w:r>
            <w:fldChar w:fldCharType="end"/>
          </w:r>
        </w:p>
        <w:p>
          <w:pPr>
            <w:pStyle w:val="14"/>
            <w:tabs>
              <w:tab w:val="right" w:leader="dot" w:pos="9736"/>
            </w:tabs>
            <w:rPr>
              <w:kern w:val="2"/>
              <w:sz w:val="21"/>
            </w:rPr>
          </w:pPr>
          <w:r>
            <w:fldChar w:fldCharType="begin"/>
          </w:r>
          <w:r>
            <w:instrText xml:space="preserve"> HYPERLINK \l "_Toc533510627" </w:instrText>
          </w:r>
          <w:r>
            <w:fldChar w:fldCharType="separate"/>
          </w:r>
          <w:r>
            <w:rPr>
              <w:rStyle w:val="27"/>
              <w:rFonts w:hint="eastAsia"/>
            </w:rPr>
            <w:t>（一）总体就业率及毕业去向</w:t>
          </w:r>
          <w:r>
            <w:tab/>
          </w:r>
          <w:r>
            <w:fldChar w:fldCharType="begin"/>
          </w:r>
          <w:r>
            <w:instrText xml:space="preserve"> PAGEREF _Toc533510627 \h </w:instrText>
          </w:r>
          <w:r>
            <w:fldChar w:fldCharType="separate"/>
          </w:r>
          <w:r>
            <w:t>10</w:t>
          </w:r>
          <w:r>
            <w:fldChar w:fldCharType="end"/>
          </w:r>
          <w:r>
            <w:fldChar w:fldCharType="end"/>
          </w:r>
        </w:p>
        <w:p>
          <w:pPr>
            <w:pStyle w:val="14"/>
            <w:tabs>
              <w:tab w:val="right" w:leader="dot" w:pos="9736"/>
            </w:tabs>
            <w:rPr>
              <w:kern w:val="2"/>
              <w:sz w:val="21"/>
            </w:rPr>
          </w:pPr>
          <w:r>
            <w:fldChar w:fldCharType="begin"/>
          </w:r>
          <w:r>
            <w:instrText xml:space="preserve"> HYPERLINK \l "_Toc533510628" </w:instrText>
          </w:r>
          <w:r>
            <w:fldChar w:fldCharType="separate"/>
          </w:r>
          <w:r>
            <w:rPr>
              <w:rStyle w:val="27"/>
              <w:rFonts w:hint="eastAsia"/>
            </w:rPr>
            <w:t>（二）各院系</w:t>
          </w:r>
          <w:r>
            <w:rPr>
              <w:rStyle w:val="27"/>
            </w:rPr>
            <w:t>/</w:t>
          </w:r>
          <w:r>
            <w:rPr>
              <w:rStyle w:val="27"/>
              <w:rFonts w:hint="eastAsia"/>
            </w:rPr>
            <w:t>专业的就业率</w:t>
          </w:r>
          <w:r>
            <w:tab/>
          </w:r>
          <w:r>
            <w:fldChar w:fldCharType="begin"/>
          </w:r>
          <w:r>
            <w:instrText xml:space="preserve"> PAGEREF _Toc533510628 \h </w:instrText>
          </w:r>
          <w:r>
            <w:fldChar w:fldCharType="separate"/>
          </w:r>
          <w:r>
            <w:t>11</w:t>
          </w:r>
          <w:r>
            <w:fldChar w:fldCharType="end"/>
          </w:r>
          <w:r>
            <w:fldChar w:fldCharType="end"/>
          </w:r>
        </w:p>
        <w:p>
          <w:pPr>
            <w:pStyle w:val="14"/>
            <w:tabs>
              <w:tab w:val="right" w:leader="dot" w:pos="9736"/>
            </w:tabs>
            <w:rPr>
              <w:kern w:val="2"/>
              <w:sz w:val="21"/>
            </w:rPr>
          </w:pPr>
          <w:r>
            <w:fldChar w:fldCharType="begin"/>
          </w:r>
          <w:r>
            <w:instrText xml:space="preserve"> HYPERLINK \l "_Toc533510629" </w:instrText>
          </w:r>
          <w:r>
            <w:fldChar w:fldCharType="separate"/>
          </w:r>
          <w:r>
            <w:rPr>
              <w:rStyle w:val="27"/>
              <w:rFonts w:hint="eastAsia"/>
            </w:rPr>
            <w:t>（三）未就业分析</w:t>
          </w:r>
          <w:r>
            <w:tab/>
          </w:r>
          <w:r>
            <w:fldChar w:fldCharType="begin"/>
          </w:r>
          <w:r>
            <w:instrText xml:space="preserve"> PAGEREF _Toc533510629 \h </w:instrText>
          </w:r>
          <w:r>
            <w:fldChar w:fldCharType="separate"/>
          </w:r>
          <w:r>
            <w:t>12</w:t>
          </w:r>
          <w:r>
            <w:fldChar w:fldCharType="end"/>
          </w:r>
          <w:r>
            <w:fldChar w:fldCharType="end"/>
          </w:r>
        </w:p>
        <w:p>
          <w:pPr>
            <w:pStyle w:val="21"/>
            <w:tabs>
              <w:tab w:val="right" w:leader="dot" w:pos="9736"/>
            </w:tabs>
            <w:rPr>
              <w:kern w:val="2"/>
              <w:sz w:val="21"/>
            </w:rPr>
          </w:pPr>
          <w:r>
            <w:fldChar w:fldCharType="begin"/>
          </w:r>
          <w:r>
            <w:instrText xml:space="preserve"> HYPERLINK \l "_Toc533510630" </w:instrText>
          </w:r>
          <w:r>
            <w:fldChar w:fldCharType="separate"/>
          </w:r>
          <w:r>
            <w:rPr>
              <w:rStyle w:val="27"/>
              <w:rFonts w:hint="eastAsia"/>
            </w:rPr>
            <w:t>三、就业流向</w:t>
          </w:r>
          <w:r>
            <w:tab/>
          </w:r>
          <w:r>
            <w:fldChar w:fldCharType="begin"/>
          </w:r>
          <w:r>
            <w:instrText xml:space="preserve"> PAGEREF _Toc533510630 \h </w:instrText>
          </w:r>
          <w:r>
            <w:fldChar w:fldCharType="separate"/>
          </w:r>
          <w:r>
            <w:t>13</w:t>
          </w:r>
          <w:r>
            <w:fldChar w:fldCharType="end"/>
          </w:r>
          <w:r>
            <w:fldChar w:fldCharType="end"/>
          </w:r>
        </w:p>
        <w:p>
          <w:pPr>
            <w:pStyle w:val="18"/>
            <w:tabs>
              <w:tab w:val="right" w:leader="dot" w:pos="9736"/>
            </w:tabs>
            <w:rPr>
              <w:kern w:val="2"/>
              <w:sz w:val="21"/>
            </w:rPr>
          </w:pPr>
          <w:r>
            <w:fldChar w:fldCharType="begin"/>
          </w:r>
          <w:r>
            <w:instrText xml:space="preserve"> HYPERLINK \l "_Toc533510631" </w:instrText>
          </w:r>
          <w:r>
            <w:fldChar w:fldCharType="separate"/>
          </w:r>
          <w:r>
            <w:rPr>
              <w:rStyle w:val="27"/>
              <w:rFonts w:hint="eastAsia" w:ascii="微软雅黑" w:hAnsi="微软雅黑" w:eastAsia="微软雅黑"/>
              <w:b/>
            </w:rPr>
            <w:t>第二篇：学校就业创业工作举措</w:t>
          </w:r>
          <w:r>
            <w:tab/>
          </w:r>
          <w:r>
            <w:fldChar w:fldCharType="begin"/>
          </w:r>
          <w:r>
            <w:instrText xml:space="preserve"> PAGEREF _Toc533510631 \h </w:instrText>
          </w:r>
          <w:r>
            <w:fldChar w:fldCharType="separate"/>
          </w:r>
          <w:r>
            <w:t>18</w:t>
          </w:r>
          <w:r>
            <w:fldChar w:fldCharType="end"/>
          </w:r>
          <w:r>
            <w:fldChar w:fldCharType="end"/>
          </w:r>
        </w:p>
        <w:p>
          <w:pPr>
            <w:pStyle w:val="21"/>
            <w:tabs>
              <w:tab w:val="right" w:leader="dot" w:pos="9736"/>
            </w:tabs>
            <w:rPr>
              <w:kern w:val="2"/>
              <w:sz w:val="21"/>
            </w:rPr>
          </w:pPr>
          <w:r>
            <w:fldChar w:fldCharType="begin"/>
          </w:r>
          <w:r>
            <w:instrText xml:space="preserve"> HYPERLINK \l "_Toc533510632" </w:instrText>
          </w:r>
          <w:r>
            <w:fldChar w:fldCharType="separate"/>
          </w:r>
          <w:r>
            <w:rPr>
              <w:rStyle w:val="27"/>
              <w:rFonts w:hint="eastAsia"/>
            </w:rPr>
            <w:t>一、注重机制内涵建设，构建就业保障体系</w:t>
          </w:r>
          <w:r>
            <w:tab/>
          </w:r>
          <w:r>
            <w:fldChar w:fldCharType="begin"/>
          </w:r>
          <w:r>
            <w:instrText xml:space="preserve"> PAGEREF _Toc533510632 \h </w:instrText>
          </w:r>
          <w:r>
            <w:fldChar w:fldCharType="separate"/>
          </w:r>
          <w:r>
            <w:t>18</w:t>
          </w:r>
          <w:r>
            <w:fldChar w:fldCharType="end"/>
          </w:r>
          <w:r>
            <w:fldChar w:fldCharType="end"/>
          </w:r>
        </w:p>
        <w:p>
          <w:pPr>
            <w:pStyle w:val="21"/>
            <w:tabs>
              <w:tab w:val="right" w:leader="dot" w:pos="9736"/>
            </w:tabs>
            <w:rPr>
              <w:kern w:val="2"/>
              <w:sz w:val="21"/>
            </w:rPr>
          </w:pPr>
          <w:r>
            <w:fldChar w:fldCharType="begin"/>
          </w:r>
          <w:r>
            <w:instrText xml:space="preserve"> HYPERLINK \l "_Toc533510633" </w:instrText>
          </w:r>
          <w:r>
            <w:fldChar w:fldCharType="separate"/>
          </w:r>
          <w:r>
            <w:rPr>
              <w:rStyle w:val="27"/>
              <w:rFonts w:hint="eastAsia"/>
            </w:rPr>
            <w:t>二、优化指导服务功能，提升就业创业能力</w:t>
          </w:r>
          <w:r>
            <w:tab/>
          </w:r>
          <w:r>
            <w:fldChar w:fldCharType="begin"/>
          </w:r>
          <w:r>
            <w:instrText xml:space="preserve"> PAGEREF _Toc533510633 \h </w:instrText>
          </w:r>
          <w:r>
            <w:fldChar w:fldCharType="separate"/>
          </w:r>
          <w:r>
            <w:t>18</w:t>
          </w:r>
          <w:r>
            <w:fldChar w:fldCharType="end"/>
          </w:r>
          <w:r>
            <w:fldChar w:fldCharType="end"/>
          </w:r>
        </w:p>
        <w:p>
          <w:pPr>
            <w:pStyle w:val="21"/>
            <w:tabs>
              <w:tab w:val="right" w:leader="dot" w:pos="9736"/>
            </w:tabs>
            <w:rPr>
              <w:kern w:val="2"/>
              <w:sz w:val="21"/>
            </w:rPr>
          </w:pPr>
          <w:r>
            <w:fldChar w:fldCharType="begin"/>
          </w:r>
          <w:r>
            <w:instrText xml:space="preserve"> HYPERLINK \l "_Toc533510634" </w:instrText>
          </w:r>
          <w:r>
            <w:fldChar w:fldCharType="separate"/>
          </w:r>
          <w:r>
            <w:rPr>
              <w:rStyle w:val="27"/>
              <w:rFonts w:hint="eastAsia"/>
            </w:rPr>
            <w:t>三、落实双创引领计划，打造特色创业基地</w:t>
          </w:r>
          <w:r>
            <w:tab/>
          </w:r>
          <w:r>
            <w:fldChar w:fldCharType="begin"/>
          </w:r>
          <w:r>
            <w:instrText xml:space="preserve"> PAGEREF _Toc533510634 \h </w:instrText>
          </w:r>
          <w:r>
            <w:fldChar w:fldCharType="separate"/>
          </w:r>
          <w:r>
            <w:t>19</w:t>
          </w:r>
          <w:r>
            <w:fldChar w:fldCharType="end"/>
          </w:r>
          <w:r>
            <w:fldChar w:fldCharType="end"/>
          </w:r>
        </w:p>
        <w:p>
          <w:pPr>
            <w:pStyle w:val="21"/>
            <w:tabs>
              <w:tab w:val="right" w:leader="dot" w:pos="9736"/>
            </w:tabs>
            <w:rPr>
              <w:kern w:val="2"/>
              <w:sz w:val="21"/>
            </w:rPr>
          </w:pPr>
          <w:r>
            <w:fldChar w:fldCharType="begin"/>
          </w:r>
          <w:r>
            <w:instrText xml:space="preserve"> HYPERLINK \l "_Toc533510635" </w:instrText>
          </w:r>
          <w:r>
            <w:fldChar w:fldCharType="separate"/>
          </w:r>
          <w:r>
            <w:rPr>
              <w:rStyle w:val="27"/>
              <w:rFonts w:hint="eastAsia"/>
            </w:rPr>
            <w:t>四、运用信息技术手段，搭建多元就业平台</w:t>
          </w:r>
          <w:r>
            <w:tab/>
          </w:r>
          <w:r>
            <w:fldChar w:fldCharType="begin"/>
          </w:r>
          <w:r>
            <w:instrText xml:space="preserve"> PAGEREF _Toc533510635 \h </w:instrText>
          </w:r>
          <w:r>
            <w:fldChar w:fldCharType="separate"/>
          </w:r>
          <w:r>
            <w:t>21</w:t>
          </w:r>
          <w:r>
            <w:fldChar w:fldCharType="end"/>
          </w:r>
          <w:r>
            <w:fldChar w:fldCharType="end"/>
          </w:r>
        </w:p>
        <w:p>
          <w:pPr>
            <w:pStyle w:val="21"/>
            <w:tabs>
              <w:tab w:val="right" w:leader="dot" w:pos="9736"/>
            </w:tabs>
            <w:rPr>
              <w:kern w:val="2"/>
              <w:sz w:val="21"/>
            </w:rPr>
          </w:pPr>
          <w:r>
            <w:fldChar w:fldCharType="begin"/>
          </w:r>
          <w:r>
            <w:instrText xml:space="preserve"> HYPERLINK \l "_Toc533510636" </w:instrText>
          </w:r>
          <w:r>
            <w:fldChar w:fldCharType="separate"/>
          </w:r>
          <w:r>
            <w:rPr>
              <w:rStyle w:val="27"/>
              <w:rFonts w:hint="eastAsia"/>
            </w:rPr>
            <w:t>五、挖掘行业优势资源，提供优质就业岗位</w:t>
          </w:r>
          <w:r>
            <w:tab/>
          </w:r>
          <w:r>
            <w:fldChar w:fldCharType="begin"/>
          </w:r>
          <w:r>
            <w:instrText xml:space="preserve"> PAGEREF _Toc533510636 \h </w:instrText>
          </w:r>
          <w:r>
            <w:fldChar w:fldCharType="separate"/>
          </w:r>
          <w:r>
            <w:t>22</w:t>
          </w:r>
          <w:r>
            <w:fldChar w:fldCharType="end"/>
          </w:r>
          <w:r>
            <w:fldChar w:fldCharType="end"/>
          </w:r>
        </w:p>
        <w:p>
          <w:pPr>
            <w:pStyle w:val="21"/>
            <w:tabs>
              <w:tab w:val="right" w:leader="dot" w:pos="9736"/>
            </w:tabs>
            <w:rPr>
              <w:kern w:val="2"/>
              <w:sz w:val="21"/>
            </w:rPr>
          </w:pPr>
          <w:r>
            <w:fldChar w:fldCharType="begin"/>
          </w:r>
          <w:r>
            <w:instrText xml:space="preserve"> HYPERLINK \l "_Toc533510637" </w:instrText>
          </w:r>
          <w:r>
            <w:fldChar w:fldCharType="separate"/>
          </w:r>
          <w:r>
            <w:rPr>
              <w:rStyle w:val="27"/>
              <w:rFonts w:hint="eastAsia"/>
            </w:rPr>
            <w:t>六、加强内外多方联动，提升学生就业质量</w:t>
          </w:r>
          <w:r>
            <w:tab/>
          </w:r>
          <w:r>
            <w:fldChar w:fldCharType="begin"/>
          </w:r>
          <w:r>
            <w:instrText xml:space="preserve"> PAGEREF _Toc533510637 \h </w:instrText>
          </w:r>
          <w:r>
            <w:fldChar w:fldCharType="separate"/>
          </w:r>
          <w:r>
            <w:t>22</w:t>
          </w:r>
          <w:r>
            <w:fldChar w:fldCharType="end"/>
          </w:r>
          <w:r>
            <w:fldChar w:fldCharType="end"/>
          </w:r>
        </w:p>
        <w:p>
          <w:pPr>
            <w:pStyle w:val="21"/>
            <w:tabs>
              <w:tab w:val="right" w:leader="dot" w:pos="9736"/>
            </w:tabs>
            <w:rPr>
              <w:kern w:val="2"/>
              <w:sz w:val="21"/>
            </w:rPr>
          </w:pPr>
          <w:r>
            <w:fldChar w:fldCharType="begin"/>
          </w:r>
          <w:r>
            <w:instrText xml:space="preserve"> HYPERLINK \l "_Toc533510638" </w:instrText>
          </w:r>
          <w:r>
            <w:fldChar w:fldCharType="separate"/>
          </w:r>
          <w:r>
            <w:rPr>
              <w:rStyle w:val="27"/>
              <w:rFonts w:hint="eastAsia"/>
            </w:rPr>
            <w:t>七、完善实习管理制度，实现就业无缝对接</w:t>
          </w:r>
          <w:r>
            <w:tab/>
          </w:r>
          <w:r>
            <w:fldChar w:fldCharType="begin"/>
          </w:r>
          <w:r>
            <w:instrText xml:space="preserve"> PAGEREF _Toc533510638 \h </w:instrText>
          </w:r>
          <w:r>
            <w:fldChar w:fldCharType="separate"/>
          </w:r>
          <w:r>
            <w:t>23</w:t>
          </w:r>
          <w:r>
            <w:fldChar w:fldCharType="end"/>
          </w:r>
          <w:r>
            <w:fldChar w:fldCharType="end"/>
          </w:r>
        </w:p>
        <w:p>
          <w:pPr>
            <w:pStyle w:val="21"/>
            <w:tabs>
              <w:tab w:val="right" w:leader="dot" w:pos="9736"/>
            </w:tabs>
            <w:rPr>
              <w:kern w:val="2"/>
              <w:sz w:val="21"/>
            </w:rPr>
          </w:pPr>
          <w:r>
            <w:fldChar w:fldCharType="begin"/>
          </w:r>
          <w:r>
            <w:instrText xml:space="preserve"> HYPERLINK \l "_Toc533510639" </w:instrText>
          </w:r>
          <w:r>
            <w:fldChar w:fldCharType="separate"/>
          </w:r>
          <w:r>
            <w:rPr>
              <w:rStyle w:val="27"/>
              <w:rFonts w:hint="eastAsia"/>
            </w:rPr>
            <w:t>八、深化产教融合理念，创新人才培养模式</w:t>
          </w:r>
          <w:r>
            <w:tab/>
          </w:r>
          <w:r>
            <w:fldChar w:fldCharType="begin"/>
          </w:r>
          <w:r>
            <w:instrText xml:space="preserve"> PAGEREF _Toc533510639 \h </w:instrText>
          </w:r>
          <w:r>
            <w:fldChar w:fldCharType="separate"/>
          </w:r>
          <w:r>
            <w:t>24</w:t>
          </w:r>
          <w:r>
            <w:fldChar w:fldCharType="end"/>
          </w:r>
          <w:r>
            <w:fldChar w:fldCharType="end"/>
          </w:r>
        </w:p>
        <w:p>
          <w:pPr>
            <w:pStyle w:val="21"/>
            <w:tabs>
              <w:tab w:val="right" w:leader="dot" w:pos="9736"/>
            </w:tabs>
            <w:rPr>
              <w:kern w:val="2"/>
              <w:sz w:val="21"/>
            </w:rPr>
          </w:pPr>
          <w:r>
            <w:fldChar w:fldCharType="begin"/>
          </w:r>
          <w:r>
            <w:instrText xml:space="preserve"> HYPERLINK \l "_Toc533510640" </w:instrText>
          </w:r>
          <w:r>
            <w:fldChar w:fldCharType="separate"/>
          </w:r>
          <w:r>
            <w:rPr>
              <w:rStyle w:val="27"/>
              <w:rFonts w:hint="eastAsia"/>
            </w:rPr>
            <w:t>九、积极引导学生基层就业，服务地区人才发展</w:t>
          </w:r>
          <w:r>
            <w:tab/>
          </w:r>
          <w:r>
            <w:fldChar w:fldCharType="begin"/>
          </w:r>
          <w:r>
            <w:instrText xml:space="preserve"> PAGEREF _Toc533510640 \h </w:instrText>
          </w:r>
          <w:r>
            <w:fldChar w:fldCharType="separate"/>
          </w:r>
          <w:r>
            <w:t>24</w:t>
          </w:r>
          <w:r>
            <w:fldChar w:fldCharType="end"/>
          </w:r>
          <w:r>
            <w:fldChar w:fldCharType="end"/>
          </w:r>
        </w:p>
        <w:p>
          <w:pPr>
            <w:pStyle w:val="21"/>
            <w:tabs>
              <w:tab w:val="right" w:leader="dot" w:pos="9736"/>
            </w:tabs>
            <w:rPr>
              <w:kern w:val="2"/>
              <w:sz w:val="21"/>
            </w:rPr>
          </w:pPr>
          <w:r>
            <w:fldChar w:fldCharType="begin"/>
          </w:r>
          <w:r>
            <w:instrText xml:space="preserve"> HYPERLINK \l "_Toc533510641" </w:instrText>
          </w:r>
          <w:r>
            <w:fldChar w:fldCharType="separate"/>
          </w:r>
          <w:r>
            <w:rPr>
              <w:rStyle w:val="27"/>
              <w:rFonts w:hint="eastAsia"/>
            </w:rPr>
            <w:t>十、关注就业困难群体，建立全程帮扶机制</w:t>
          </w:r>
          <w:r>
            <w:tab/>
          </w:r>
          <w:r>
            <w:fldChar w:fldCharType="begin"/>
          </w:r>
          <w:r>
            <w:instrText xml:space="preserve"> PAGEREF _Toc533510641 \h </w:instrText>
          </w:r>
          <w:r>
            <w:fldChar w:fldCharType="separate"/>
          </w:r>
          <w:r>
            <w:t>24</w:t>
          </w:r>
          <w:r>
            <w:fldChar w:fldCharType="end"/>
          </w:r>
          <w:r>
            <w:fldChar w:fldCharType="end"/>
          </w:r>
        </w:p>
        <w:p>
          <w:pPr>
            <w:pStyle w:val="21"/>
            <w:tabs>
              <w:tab w:val="right" w:leader="dot" w:pos="9736"/>
            </w:tabs>
            <w:rPr>
              <w:kern w:val="2"/>
              <w:sz w:val="21"/>
            </w:rPr>
          </w:pPr>
          <w:r>
            <w:fldChar w:fldCharType="begin"/>
          </w:r>
          <w:r>
            <w:instrText xml:space="preserve"> HYPERLINK \l "_Toc533510642" </w:instrText>
          </w:r>
          <w:r>
            <w:fldChar w:fldCharType="separate"/>
          </w:r>
          <w:r>
            <w:rPr>
              <w:rStyle w:val="27"/>
              <w:rFonts w:hint="eastAsia"/>
            </w:rPr>
            <w:t>十一、强化就业队伍建设，提高指导服务水平</w:t>
          </w:r>
          <w:r>
            <w:tab/>
          </w:r>
          <w:r>
            <w:fldChar w:fldCharType="begin"/>
          </w:r>
          <w:r>
            <w:instrText xml:space="preserve"> PAGEREF _Toc533510642 \h </w:instrText>
          </w:r>
          <w:r>
            <w:fldChar w:fldCharType="separate"/>
          </w:r>
          <w:r>
            <w:t>25</w:t>
          </w:r>
          <w:r>
            <w:fldChar w:fldCharType="end"/>
          </w:r>
          <w:r>
            <w:fldChar w:fldCharType="end"/>
          </w:r>
        </w:p>
        <w:p>
          <w:pPr>
            <w:pStyle w:val="18"/>
            <w:tabs>
              <w:tab w:val="right" w:leader="dot" w:pos="9736"/>
            </w:tabs>
            <w:rPr>
              <w:kern w:val="2"/>
              <w:sz w:val="21"/>
            </w:rPr>
          </w:pPr>
          <w:r>
            <w:fldChar w:fldCharType="begin"/>
          </w:r>
          <w:r>
            <w:instrText xml:space="preserve"> HYPERLINK \l "_Toc533510643" </w:instrText>
          </w:r>
          <w:r>
            <w:fldChar w:fldCharType="separate"/>
          </w:r>
          <w:r>
            <w:rPr>
              <w:rStyle w:val="27"/>
              <w:rFonts w:hint="eastAsia" w:ascii="微软雅黑" w:hAnsi="微软雅黑" w:eastAsia="微软雅黑"/>
              <w:b/>
            </w:rPr>
            <w:t>第三篇：就业质量相关分析</w:t>
          </w:r>
          <w:r>
            <w:tab/>
          </w:r>
          <w:r>
            <w:fldChar w:fldCharType="begin"/>
          </w:r>
          <w:r>
            <w:instrText xml:space="preserve"> PAGEREF _Toc533510643 \h </w:instrText>
          </w:r>
          <w:r>
            <w:fldChar w:fldCharType="separate"/>
          </w:r>
          <w:r>
            <w:t>26</w:t>
          </w:r>
          <w:r>
            <w:fldChar w:fldCharType="end"/>
          </w:r>
          <w:r>
            <w:fldChar w:fldCharType="end"/>
          </w:r>
        </w:p>
        <w:p>
          <w:pPr>
            <w:pStyle w:val="21"/>
            <w:tabs>
              <w:tab w:val="right" w:leader="dot" w:pos="9736"/>
            </w:tabs>
            <w:rPr>
              <w:kern w:val="2"/>
              <w:sz w:val="21"/>
            </w:rPr>
          </w:pPr>
          <w:r>
            <w:fldChar w:fldCharType="begin"/>
          </w:r>
          <w:r>
            <w:instrText xml:space="preserve"> HYPERLINK \l "_Toc533510644" </w:instrText>
          </w:r>
          <w:r>
            <w:fldChar w:fldCharType="separate"/>
          </w:r>
          <w:r>
            <w:rPr>
              <w:rStyle w:val="27"/>
              <w:rFonts w:hint="eastAsia"/>
            </w:rPr>
            <w:t>一、毕业生就业质量相关分析</w:t>
          </w:r>
          <w:r>
            <w:tab/>
          </w:r>
          <w:r>
            <w:fldChar w:fldCharType="begin"/>
          </w:r>
          <w:r>
            <w:instrText xml:space="preserve"> PAGEREF _Toc533510644 \h </w:instrText>
          </w:r>
          <w:r>
            <w:fldChar w:fldCharType="separate"/>
          </w:r>
          <w:r>
            <w:t>26</w:t>
          </w:r>
          <w:r>
            <w:fldChar w:fldCharType="end"/>
          </w:r>
          <w:r>
            <w:fldChar w:fldCharType="end"/>
          </w:r>
        </w:p>
        <w:p>
          <w:pPr>
            <w:pStyle w:val="14"/>
            <w:tabs>
              <w:tab w:val="right" w:leader="dot" w:pos="9736"/>
            </w:tabs>
            <w:rPr>
              <w:kern w:val="2"/>
              <w:sz w:val="21"/>
            </w:rPr>
          </w:pPr>
          <w:r>
            <w:fldChar w:fldCharType="begin"/>
          </w:r>
          <w:r>
            <w:instrText xml:space="preserve"> HYPERLINK \l "_Toc533510645" </w:instrText>
          </w:r>
          <w:r>
            <w:fldChar w:fldCharType="separate"/>
          </w:r>
          <w:r>
            <w:rPr>
              <w:rStyle w:val="27"/>
              <w:rFonts w:hint="eastAsia"/>
            </w:rPr>
            <w:t>（一）薪酬水平</w:t>
          </w:r>
          <w:r>
            <w:tab/>
          </w:r>
          <w:r>
            <w:fldChar w:fldCharType="begin"/>
          </w:r>
          <w:r>
            <w:instrText xml:space="preserve"> PAGEREF _Toc533510645 \h </w:instrText>
          </w:r>
          <w:r>
            <w:fldChar w:fldCharType="separate"/>
          </w:r>
          <w:r>
            <w:t>26</w:t>
          </w:r>
          <w:r>
            <w:fldChar w:fldCharType="end"/>
          </w:r>
          <w:r>
            <w:fldChar w:fldCharType="end"/>
          </w:r>
        </w:p>
        <w:p>
          <w:pPr>
            <w:pStyle w:val="14"/>
            <w:tabs>
              <w:tab w:val="right" w:leader="dot" w:pos="9736"/>
            </w:tabs>
            <w:rPr>
              <w:kern w:val="2"/>
              <w:sz w:val="21"/>
            </w:rPr>
          </w:pPr>
          <w:r>
            <w:fldChar w:fldCharType="begin"/>
          </w:r>
          <w:r>
            <w:instrText xml:space="preserve"> HYPERLINK \l "_Toc533510646" </w:instrText>
          </w:r>
          <w:r>
            <w:fldChar w:fldCharType="separate"/>
          </w:r>
          <w:r>
            <w:rPr>
              <w:rStyle w:val="27"/>
              <w:rFonts w:hint="eastAsia"/>
            </w:rPr>
            <w:t>（二）专业相关度</w:t>
          </w:r>
          <w:r>
            <w:tab/>
          </w:r>
          <w:r>
            <w:fldChar w:fldCharType="begin"/>
          </w:r>
          <w:r>
            <w:instrText xml:space="preserve"> PAGEREF _Toc533510646 \h </w:instrText>
          </w:r>
          <w:r>
            <w:fldChar w:fldCharType="separate"/>
          </w:r>
          <w:r>
            <w:t>28</w:t>
          </w:r>
          <w:r>
            <w:fldChar w:fldCharType="end"/>
          </w:r>
          <w:r>
            <w:fldChar w:fldCharType="end"/>
          </w:r>
        </w:p>
        <w:p>
          <w:pPr>
            <w:pStyle w:val="14"/>
            <w:tabs>
              <w:tab w:val="right" w:leader="dot" w:pos="9736"/>
            </w:tabs>
            <w:rPr>
              <w:kern w:val="2"/>
              <w:sz w:val="21"/>
            </w:rPr>
          </w:pPr>
          <w:r>
            <w:fldChar w:fldCharType="begin"/>
          </w:r>
          <w:r>
            <w:instrText xml:space="preserve"> HYPERLINK \l "_Toc533510647" </w:instrText>
          </w:r>
          <w:r>
            <w:fldChar w:fldCharType="separate"/>
          </w:r>
          <w:r>
            <w:rPr>
              <w:rStyle w:val="27"/>
              <w:rFonts w:hint="eastAsia"/>
            </w:rPr>
            <w:t>（三）工作满意度</w:t>
          </w:r>
          <w:r>
            <w:tab/>
          </w:r>
          <w:r>
            <w:fldChar w:fldCharType="begin"/>
          </w:r>
          <w:r>
            <w:instrText xml:space="preserve"> PAGEREF _Toc533510647 \h </w:instrText>
          </w:r>
          <w:r>
            <w:fldChar w:fldCharType="separate"/>
          </w:r>
          <w:r>
            <w:t>30</w:t>
          </w:r>
          <w:r>
            <w:fldChar w:fldCharType="end"/>
          </w:r>
          <w:r>
            <w:fldChar w:fldCharType="end"/>
          </w:r>
        </w:p>
        <w:p>
          <w:pPr>
            <w:pStyle w:val="14"/>
            <w:tabs>
              <w:tab w:val="right" w:leader="dot" w:pos="9736"/>
            </w:tabs>
            <w:rPr>
              <w:kern w:val="2"/>
              <w:sz w:val="21"/>
            </w:rPr>
          </w:pPr>
          <w:r>
            <w:fldChar w:fldCharType="begin"/>
          </w:r>
          <w:r>
            <w:instrText xml:space="preserve"> HYPERLINK \l "_Toc533510648" </w:instrText>
          </w:r>
          <w:r>
            <w:fldChar w:fldCharType="separate"/>
          </w:r>
          <w:r>
            <w:rPr>
              <w:rStyle w:val="27"/>
              <w:rFonts w:hint="eastAsia"/>
            </w:rPr>
            <w:t>（四）职业期待吻合度</w:t>
          </w:r>
          <w:r>
            <w:tab/>
          </w:r>
          <w:r>
            <w:fldChar w:fldCharType="begin"/>
          </w:r>
          <w:r>
            <w:instrText xml:space="preserve"> PAGEREF _Toc533510648 \h </w:instrText>
          </w:r>
          <w:r>
            <w:fldChar w:fldCharType="separate"/>
          </w:r>
          <w:r>
            <w:t>31</w:t>
          </w:r>
          <w:r>
            <w:fldChar w:fldCharType="end"/>
          </w:r>
          <w:r>
            <w:fldChar w:fldCharType="end"/>
          </w:r>
        </w:p>
        <w:p>
          <w:pPr>
            <w:pStyle w:val="21"/>
            <w:tabs>
              <w:tab w:val="right" w:leader="dot" w:pos="9736"/>
            </w:tabs>
            <w:rPr>
              <w:kern w:val="2"/>
              <w:sz w:val="21"/>
            </w:rPr>
          </w:pPr>
          <w:r>
            <w:fldChar w:fldCharType="begin"/>
          </w:r>
          <w:r>
            <w:instrText xml:space="preserve"> HYPERLINK \l "_Toc533510649" </w:instrText>
          </w:r>
          <w:r>
            <w:fldChar w:fldCharType="separate"/>
          </w:r>
          <w:r>
            <w:rPr>
              <w:rStyle w:val="27"/>
              <w:rFonts w:hint="eastAsia"/>
            </w:rPr>
            <w:t>二、用人单位对毕业生的评价</w:t>
          </w:r>
          <w:r>
            <w:tab/>
          </w:r>
          <w:r>
            <w:fldChar w:fldCharType="begin"/>
          </w:r>
          <w:r>
            <w:instrText xml:space="preserve"> PAGEREF _Toc533510649 \h </w:instrText>
          </w:r>
          <w:r>
            <w:fldChar w:fldCharType="separate"/>
          </w:r>
          <w:r>
            <w:t>31</w:t>
          </w:r>
          <w:r>
            <w:fldChar w:fldCharType="end"/>
          </w:r>
          <w:r>
            <w:fldChar w:fldCharType="end"/>
          </w:r>
        </w:p>
        <w:p>
          <w:pPr>
            <w:pStyle w:val="14"/>
            <w:tabs>
              <w:tab w:val="right" w:leader="dot" w:pos="9736"/>
            </w:tabs>
            <w:rPr>
              <w:kern w:val="2"/>
              <w:sz w:val="21"/>
            </w:rPr>
          </w:pPr>
          <w:r>
            <w:fldChar w:fldCharType="begin"/>
          </w:r>
          <w:r>
            <w:instrText xml:space="preserve"> HYPERLINK \l "_Toc533510650" </w:instrText>
          </w:r>
          <w:r>
            <w:fldChar w:fldCharType="separate"/>
          </w:r>
          <w:r>
            <w:rPr>
              <w:rStyle w:val="27"/>
              <w:rFonts w:hint="eastAsia"/>
            </w:rPr>
            <w:t>（一）用人单位对毕业生的满意度</w:t>
          </w:r>
          <w:r>
            <w:tab/>
          </w:r>
          <w:r>
            <w:fldChar w:fldCharType="begin"/>
          </w:r>
          <w:r>
            <w:instrText xml:space="preserve"> PAGEREF _Toc533510650 \h </w:instrText>
          </w:r>
          <w:r>
            <w:fldChar w:fldCharType="separate"/>
          </w:r>
          <w:r>
            <w:t>31</w:t>
          </w:r>
          <w:r>
            <w:fldChar w:fldCharType="end"/>
          </w:r>
          <w:r>
            <w:fldChar w:fldCharType="end"/>
          </w:r>
        </w:p>
        <w:p>
          <w:pPr>
            <w:pStyle w:val="14"/>
            <w:tabs>
              <w:tab w:val="right" w:leader="dot" w:pos="9736"/>
            </w:tabs>
            <w:rPr>
              <w:kern w:val="2"/>
              <w:sz w:val="21"/>
            </w:rPr>
          </w:pPr>
          <w:r>
            <w:fldChar w:fldCharType="begin"/>
          </w:r>
          <w:r>
            <w:instrText xml:space="preserve"> HYPERLINK \l "_Toc533510651" </w:instrText>
          </w:r>
          <w:r>
            <w:fldChar w:fldCharType="separate"/>
          </w:r>
          <w:r>
            <w:rPr>
              <w:rStyle w:val="27"/>
              <w:rFonts w:hint="eastAsia"/>
            </w:rPr>
            <w:t>（二）用人单位对毕业生就业能力的评价</w:t>
          </w:r>
          <w:r>
            <w:tab/>
          </w:r>
          <w:r>
            <w:fldChar w:fldCharType="begin"/>
          </w:r>
          <w:r>
            <w:instrText xml:space="preserve"> PAGEREF _Toc533510651 \h </w:instrText>
          </w:r>
          <w:r>
            <w:fldChar w:fldCharType="separate"/>
          </w:r>
          <w:r>
            <w:t>32</w:t>
          </w:r>
          <w:r>
            <w:fldChar w:fldCharType="end"/>
          </w:r>
          <w:r>
            <w:fldChar w:fldCharType="end"/>
          </w:r>
        </w:p>
        <w:p>
          <w:pPr>
            <w:pStyle w:val="18"/>
            <w:tabs>
              <w:tab w:val="right" w:leader="dot" w:pos="9736"/>
            </w:tabs>
            <w:rPr>
              <w:kern w:val="2"/>
              <w:sz w:val="21"/>
            </w:rPr>
          </w:pPr>
          <w:r>
            <w:fldChar w:fldCharType="begin"/>
          </w:r>
          <w:r>
            <w:instrText xml:space="preserve"> HYPERLINK \l "_Toc533510652" </w:instrText>
          </w:r>
          <w:r>
            <w:fldChar w:fldCharType="separate"/>
          </w:r>
          <w:r>
            <w:rPr>
              <w:rStyle w:val="27"/>
              <w:rFonts w:hint="eastAsia" w:ascii="微软雅黑" w:hAnsi="微软雅黑" w:eastAsia="微软雅黑"/>
              <w:b/>
            </w:rPr>
            <w:t>第四篇：就业发展趋势分析</w:t>
          </w:r>
          <w:r>
            <w:tab/>
          </w:r>
          <w:r>
            <w:fldChar w:fldCharType="begin"/>
          </w:r>
          <w:r>
            <w:instrText xml:space="preserve"> PAGEREF _Toc533510652 \h </w:instrText>
          </w:r>
          <w:r>
            <w:fldChar w:fldCharType="separate"/>
          </w:r>
          <w:r>
            <w:t>33</w:t>
          </w:r>
          <w:r>
            <w:fldChar w:fldCharType="end"/>
          </w:r>
          <w:r>
            <w:fldChar w:fldCharType="end"/>
          </w:r>
        </w:p>
        <w:p>
          <w:pPr>
            <w:pStyle w:val="14"/>
            <w:tabs>
              <w:tab w:val="right" w:leader="dot" w:pos="9736"/>
            </w:tabs>
            <w:rPr>
              <w:kern w:val="2"/>
              <w:sz w:val="21"/>
            </w:rPr>
          </w:pPr>
          <w:r>
            <w:fldChar w:fldCharType="begin"/>
          </w:r>
          <w:r>
            <w:instrText xml:space="preserve"> HYPERLINK \l "_Toc533510653" </w:instrText>
          </w:r>
          <w:r>
            <w:fldChar w:fldCharType="separate"/>
          </w:r>
          <w:r>
            <w:rPr>
              <w:rStyle w:val="27"/>
              <w:rFonts w:hint="eastAsia"/>
            </w:rPr>
            <w:t>一、就业率持续向好，毕业生充分就业</w:t>
          </w:r>
          <w:r>
            <w:tab/>
          </w:r>
          <w:r>
            <w:fldChar w:fldCharType="begin"/>
          </w:r>
          <w:r>
            <w:instrText xml:space="preserve"> PAGEREF _Toc533510653 \h </w:instrText>
          </w:r>
          <w:r>
            <w:fldChar w:fldCharType="separate"/>
          </w:r>
          <w:r>
            <w:t>33</w:t>
          </w:r>
          <w:r>
            <w:fldChar w:fldCharType="end"/>
          </w:r>
          <w:r>
            <w:fldChar w:fldCharType="end"/>
          </w:r>
        </w:p>
        <w:p>
          <w:pPr>
            <w:pStyle w:val="14"/>
            <w:tabs>
              <w:tab w:val="right" w:leader="dot" w:pos="9736"/>
            </w:tabs>
            <w:rPr>
              <w:kern w:val="2"/>
              <w:sz w:val="21"/>
            </w:rPr>
          </w:pPr>
          <w:r>
            <w:fldChar w:fldCharType="begin"/>
          </w:r>
          <w:r>
            <w:instrText xml:space="preserve"> HYPERLINK \l "_Toc533510654" </w:instrText>
          </w:r>
          <w:r>
            <w:fldChar w:fldCharType="separate"/>
          </w:r>
          <w:r>
            <w:rPr>
              <w:rStyle w:val="27"/>
              <w:rFonts w:hint="eastAsia"/>
            </w:rPr>
            <w:t>二、继续深造比例增加，单位就业依然是主流</w:t>
          </w:r>
          <w:r>
            <w:tab/>
          </w:r>
          <w:r>
            <w:fldChar w:fldCharType="begin"/>
          </w:r>
          <w:r>
            <w:instrText xml:space="preserve"> PAGEREF _Toc533510654 \h </w:instrText>
          </w:r>
          <w:r>
            <w:fldChar w:fldCharType="separate"/>
          </w:r>
          <w:r>
            <w:t>33</w:t>
          </w:r>
          <w:r>
            <w:fldChar w:fldCharType="end"/>
          </w:r>
          <w:r>
            <w:fldChar w:fldCharType="end"/>
          </w:r>
        </w:p>
        <w:p>
          <w:pPr>
            <w:pStyle w:val="14"/>
            <w:tabs>
              <w:tab w:val="right" w:leader="dot" w:pos="9736"/>
            </w:tabs>
            <w:rPr>
              <w:kern w:val="2"/>
              <w:sz w:val="21"/>
            </w:rPr>
          </w:pPr>
          <w:r>
            <w:fldChar w:fldCharType="begin"/>
          </w:r>
          <w:r>
            <w:instrText xml:space="preserve"> HYPERLINK \l "_Toc533510655" </w:instrText>
          </w:r>
          <w:r>
            <w:fldChar w:fldCharType="separate"/>
          </w:r>
          <w:r>
            <w:rPr>
              <w:rStyle w:val="27"/>
              <w:rFonts w:hint="eastAsia"/>
            </w:rPr>
            <w:t>三、市内就业比例呈上升趋势，为区域发展培养高素质人才</w:t>
          </w:r>
          <w:r>
            <w:tab/>
          </w:r>
          <w:r>
            <w:fldChar w:fldCharType="begin"/>
          </w:r>
          <w:r>
            <w:instrText xml:space="preserve"> PAGEREF _Toc533510655 \h </w:instrText>
          </w:r>
          <w:r>
            <w:fldChar w:fldCharType="separate"/>
          </w:r>
          <w:r>
            <w:t>34</w:t>
          </w:r>
          <w:r>
            <w:fldChar w:fldCharType="end"/>
          </w:r>
          <w:r>
            <w:fldChar w:fldCharType="end"/>
          </w:r>
        </w:p>
        <w:p>
          <w:pPr>
            <w:pStyle w:val="14"/>
            <w:tabs>
              <w:tab w:val="right" w:leader="dot" w:pos="9736"/>
            </w:tabs>
            <w:rPr>
              <w:kern w:val="2"/>
              <w:sz w:val="21"/>
            </w:rPr>
          </w:pPr>
          <w:r>
            <w:fldChar w:fldCharType="begin"/>
          </w:r>
          <w:r>
            <w:instrText xml:space="preserve"> HYPERLINK \l "_Toc533510656" </w:instrText>
          </w:r>
          <w:r>
            <w:fldChar w:fldCharType="separate"/>
          </w:r>
          <w:r>
            <w:rPr>
              <w:rStyle w:val="27"/>
              <w:rFonts w:hint="eastAsia"/>
            </w:rPr>
            <w:t>四、就业行业体现学校专业特色及培养定位</w:t>
          </w:r>
          <w:r>
            <w:tab/>
          </w:r>
          <w:r>
            <w:fldChar w:fldCharType="begin"/>
          </w:r>
          <w:r>
            <w:instrText xml:space="preserve"> PAGEREF _Toc533510656 \h </w:instrText>
          </w:r>
          <w:r>
            <w:fldChar w:fldCharType="separate"/>
          </w:r>
          <w:r>
            <w:t>35</w:t>
          </w:r>
          <w:r>
            <w:fldChar w:fldCharType="end"/>
          </w:r>
          <w:r>
            <w:fldChar w:fldCharType="end"/>
          </w:r>
        </w:p>
        <w:p>
          <w:pPr>
            <w:pStyle w:val="14"/>
            <w:tabs>
              <w:tab w:val="right" w:leader="dot" w:pos="9736"/>
            </w:tabs>
            <w:rPr>
              <w:kern w:val="2"/>
              <w:sz w:val="21"/>
            </w:rPr>
          </w:pPr>
          <w:r>
            <w:fldChar w:fldCharType="begin"/>
          </w:r>
          <w:r>
            <w:instrText xml:space="preserve"> HYPERLINK \l "_Toc533510657" </w:instrText>
          </w:r>
          <w:r>
            <w:fldChar w:fldCharType="separate"/>
          </w:r>
          <w:r>
            <w:rPr>
              <w:rStyle w:val="27"/>
              <w:rFonts w:hint="eastAsia"/>
            </w:rPr>
            <w:t>五、紧随国家对企业扶持政策，拓宽就业渠道</w:t>
          </w:r>
          <w:r>
            <w:tab/>
          </w:r>
          <w:r>
            <w:fldChar w:fldCharType="begin"/>
          </w:r>
          <w:r>
            <w:instrText xml:space="preserve"> PAGEREF _Toc533510657 \h </w:instrText>
          </w:r>
          <w:r>
            <w:fldChar w:fldCharType="separate"/>
          </w:r>
          <w:r>
            <w:t>36</w:t>
          </w:r>
          <w:r>
            <w:fldChar w:fldCharType="end"/>
          </w:r>
          <w:r>
            <w:fldChar w:fldCharType="end"/>
          </w:r>
        </w:p>
        <w:p>
          <w:pPr>
            <w:pStyle w:val="18"/>
            <w:tabs>
              <w:tab w:val="right" w:leader="dot" w:pos="9736"/>
            </w:tabs>
            <w:rPr>
              <w:kern w:val="2"/>
              <w:sz w:val="21"/>
            </w:rPr>
          </w:pPr>
          <w:r>
            <w:fldChar w:fldCharType="begin"/>
          </w:r>
          <w:r>
            <w:instrText xml:space="preserve"> HYPERLINK \l "_Toc533510658" </w:instrText>
          </w:r>
          <w:r>
            <w:fldChar w:fldCharType="separate"/>
          </w:r>
          <w:r>
            <w:rPr>
              <w:rStyle w:val="27"/>
              <w:rFonts w:hint="eastAsia" w:ascii="微软雅黑" w:hAnsi="微软雅黑" w:eastAsia="微软雅黑"/>
              <w:b/>
            </w:rPr>
            <w:t>第五篇：就业对教育教学的反馈</w:t>
          </w:r>
          <w:r>
            <w:tab/>
          </w:r>
          <w:r>
            <w:fldChar w:fldCharType="begin"/>
          </w:r>
          <w:r>
            <w:instrText xml:space="preserve"> PAGEREF _Toc533510658 \h </w:instrText>
          </w:r>
          <w:r>
            <w:fldChar w:fldCharType="separate"/>
          </w:r>
          <w:r>
            <w:t>38</w:t>
          </w:r>
          <w:r>
            <w:fldChar w:fldCharType="end"/>
          </w:r>
          <w:r>
            <w:fldChar w:fldCharType="end"/>
          </w:r>
        </w:p>
        <w:p>
          <w:pPr>
            <w:pStyle w:val="21"/>
            <w:tabs>
              <w:tab w:val="right" w:leader="dot" w:pos="9736"/>
            </w:tabs>
            <w:rPr>
              <w:kern w:val="2"/>
              <w:sz w:val="21"/>
            </w:rPr>
          </w:pPr>
          <w:r>
            <w:fldChar w:fldCharType="begin"/>
          </w:r>
          <w:r>
            <w:instrText xml:space="preserve"> HYPERLINK \l "_Toc533510659" </w:instrText>
          </w:r>
          <w:r>
            <w:fldChar w:fldCharType="separate"/>
          </w:r>
          <w:r>
            <w:rPr>
              <w:rStyle w:val="27"/>
              <w:rFonts w:hint="eastAsia"/>
            </w:rPr>
            <w:t>一、对人才培养的影响</w:t>
          </w:r>
          <w:r>
            <w:tab/>
          </w:r>
          <w:r>
            <w:fldChar w:fldCharType="begin"/>
          </w:r>
          <w:r>
            <w:instrText xml:space="preserve"> PAGEREF _Toc533510659 \h </w:instrText>
          </w:r>
          <w:r>
            <w:fldChar w:fldCharType="separate"/>
          </w:r>
          <w:r>
            <w:t>38</w:t>
          </w:r>
          <w:r>
            <w:fldChar w:fldCharType="end"/>
          </w:r>
          <w:r>
            <w:fldChar w:fldCharType="end"/>
          </w:r>
        </w:p>
        <w:p>
          <w:pPr>
            <w:pStyle w:val="14"/>
            <w:tabs>
              <w:tab w:val="right" w:leader="dot" w:pos="9736"/>
            </w:tabs>
            <w:rPr>
              <w:kern w:val="2"/>
              <w:sz w:val="21"/>
            </w:rPr>
          </w:pPr>
          <w:r>
            <w:fldChar w:fldCharType="begin"/>
          </w:r>
          <w:r>
            <w:instrText xml:space="preserve"> HYPERLINK \l "_Toc533510660" </w:instrText>
          </w:r>
          <w:r>
            <w:fldChar w:fldCharType="separate"/>
          </w:r>
          <w:r>
            <w:rPr>
              <w:rStyle w:val="27"/>
              <w:rFonts w:hint="eastAsia"/>
            </w:rPr>
            <w:t>（一）对人才培养的评价</w:t>
          </w:r>
          <w:r>
            <w:tab/>
          </w:r>
          <w:r>
            <w:fldChar w:fldCharType="begin"/>
          </w:r>
          <w:r>
            <w:instrText xml:space="preserve"> PAGEREF _Toc533510660 \h </w:instrText>
          </w:r>
          <w:r>
            <w:fldChar w:fldCharType="separate"/>
          </w:r>
          <w:r>
            <w:t>38</w:t>
          </w:r>
          <w:r>
            <w:fldChar w:fldCharType="end"/>
          </w:r>
          <w:r>
            <w:fldChar w:fldCharType="end"/>
          </w:r>
        </w:p>
        <w:p>
          <w:pPr>
            <w:pStyle w:val="14"/>
            <w:tabs>
              <w:tab w:val="right" w:leader="dot" w:pos="9736"/>
            </w:tabs>
            <w:rPr>
              <w:kern w:val="2"/>
              <w:sz w:val="21"/>
            </w:rPr>
          </w:pPr>
          <w:r>
            <w:fldChar w:fldCharType="begin"/>
          </w:r>
          <w:r>
            <w:instrText xml:space="preserve"> HYPERLINK \l "_Toc533510661" </w:instrText>
          </w:r>
          <w:r>
            <w:fldChar w:fldCharType="separate"/>
          </w:r>
          <w:r>
            <w:rPr>
              <w:rStyle w:val="27"/>
              <w:rFonts w:hint="eastAsia"/>
            </w:rPr>
            <w:t>（二）人才培养改进措施</w:t>
          </w:r>
          <w:r>
            <w:tab/>
          </w:r>
          <w:r>
            <w:fldChar w:fldCharType="begin"/>
          </w:r>
          <w:r>
            <w:instrText xml:space="preserve"> PAGEREF _Toc533510661 \h </w:instrText>
          </w:r>
          <w:r>
            <w:fldChar w:fldCharType="separate"/>
          </w:r>
          <w:r>
            <w:t>42</w:t>
          </w:r>
          <w:r>
            <w:fldChar w:fldCharType="end"/>
          </w:r>
          <w:r>
            <w:fldChar w:fldCharType="end"/>
          </w:r>
        </w:p>
        <w:p>
          <w:pPr>
            <w:pStyle w:val="21"/>
            <w:tabs>
              <w:tab w:val="right" w:leader="dot" w:pos="9736"/>
            </w:tabs>
            <w:rPr>
              <w:kern w:val="2"/>
              <w:sz w:val="21"/>
            </w:rPr>
          </w:pPr>
          <w:r>
            <w:fldChar w:fldCharType="begin"/>
          </w:r>
          <w:r>
            <w:instrText xml:space="preserve"> HYPERLINK \l "_Toc533510662" </w:instrText>
          </w:r>
          <w:r>
            <w:fldChar w:fldCharType="separate"/>
          </w:r>
          <w:r>
            <w:rPr>
              <w:rStyle w:val="27"/>
              <w:rFonts w:hint="eastAsia"/>
            </w:rPr>
            <w:t>二、对招生和专业设置的影响</w:t>
          </w:r>
          <w:r>
            <w:tab/>
          </w:r>
          <w:r>
            <w:fldChar w:fldCharType="begin"/>
          </w:r>
          <w:r>
            <w:instrText xml:space="preserve"> PAGEREF _Toc533510662 \h </w:instrText>
          </w:r>
          <w:r>
            <w:fldChar w:fldCharType="separate"/>
          </w:r>
          <w:r>
            <w:t>43</w:t>
          </w:r>
          <w:r>
            <w:fldChar w:fldCharType="end"/>
          </w:r>
          <w:r>
            <w:fldChar w:fldCharType="end"/>
          </w:r>
        </w:p>
        <w:p>
          <w:pPr>
            <w:pStyle w:val="21"/>
            <w:tabs>
              <w:tab w:val="right" w:leader="dot" w:pos="9736"/>
            </w:tabs>
            <w:rPr>
              <w:kern w:val="2"/>
              <w:sz w:val="21"/>
            </w:rPr>
          </w:pPr>
          <w:r>
            <w:fldChar w:fldCharType="begin"/>
          </w:r>
          <w:r>
            <w:instrText xml:space="preserve"> HYPERLINK \l "_Toc533510663" </w:instrText>
          </w:r>
          <w:r>
            <w:fldChar w:fldCharType="separate"/>
          </w:r>
          <w:r>
            <w:rPr>
              <w:rStyle w:val="27"/>
              <w:rFonts w:hint="eastAsia"/>
            </w:rPr>
            <w:t>三、对就创业指导服务工作的影响</w:t>
          </w:r>
          <w:r>
            <w:tab/>
          </w:r>
          <w:r>
            <w:fldChar w:fldCharType="begin"/>
          </w:r>
          <w:r>
            <w:instrText xml:space="preserve"> PAGEREF _Toc533510663 \h </w:instrText>
          </w:r>
          <w:r>
            <w:fldChar w:fldCharType="separate"/>
          </w:r>
          <w:r>
            <w:t>43</w:t>
          </w:r>
          <w:r>
            <w:fldChar w:fldCharType="end"/>
          </w:r>
          <w:r>
            <w:fldChar w:fldCharType="end"/>
          </w:r>
        </w:p>
        <w:p>
          <w:pPr>
            <w:pStyle w:val="14"/>
            <w:tabs>
              <w:tab w:val="right" w:leader="dot" w:pos="9736"/>
            </w:tabs>
            <w:rPr>
              <w:kern w:val="2"/>
              <w:sz w:val="21"/>
            </w:rPr>
          </w:pPr>
          <w:r>
            <w:fldChar w:fldCharType="begin"/>
          </w:r>
          <w:r>
            <w:instrText xml:space="preserve"> HYPERLINK \l "_Toc533510664" </w:instrText>
          </w:r>
          <w:r>
            <w:fldChar w:fldCharType="separate"/>
          </w:r>
          <w:r>
            <w:rPr>
              <w:rStyle w:val="27"/>
              <w:rFonts w:hint="eastAsia"/>
            </w:rPr>
            <w:t>（一）对就创业指导服务工作的评价</w:t>
          </w:r>
          <w:r>
            <w:tab/>
          </w:r>
          <w:r>
            <w:fldChar w:fldCharType="begin"/>
          </w:r>
          <w:r>
            <w:instrText xml:space="preserve"> PAGEREF _Toc533510664 \h </w:instrText>
          </w:r>
          <w:r>
            <w:fldChar w:fldCharType="separate"/>
          </w:r>
          <w:r>
            <w:t>43</w:t>
          </w:r>
          <w:r>
            <w:fldChar w:fldCharType="end"/>
          </w:r>
          <w:r>
            <w:fldChar w:fldCharType="end"/>
          </w:r>
        </w:p>
        <w:p>
          <w:pPr>
            <w:pStyle w:val="14"/>
            <w:tabs>
              <w:tab w:val="right" w:leader="dot" w:pos="9736"/>
            </w:tabs>
            <w:rPr>
              <w:kern w:val="2"/>
              <w:sz w:val="21"/>
            </w:rPr>
          </w:pPr>
          <w:r>
            <w:fldChar w:fldCharType="begin"/>
          </w:r>
          <w:r>
            <w:instrText xml:space="preserve"> HYPERLINK \l "_Toc533510665" </w:instrText>
          </w:r>
          <w:r>
            <w:fldChar w:fldCharType="separate"/>
          </w:r>
          <w:r>
            <w:rPr>
              <w:rStyle w:val="27"/>
              <w:rFonts w:hint="eastAsia"/>
            </w:rPr>
            <w:t>（二）就业创业服务工作的改进措施</w:t>
          </w:r>
          <w:r>
            <w:tab/>
          </w:r>
          <w:r>
            <w:fldChar w:fldCharType="begin"/>
          </w:r>
          <w:r>
            <w:instrText xml:space="preserve"> PAGEREF _Toc533510665 \h </w:instrText>
          </w:r>
          <w:r>
            <w:fldChar w:fldCharType="separate"/>
          </w:r>
          <w:r>
            <w:t>46</w:t>
          </w:r>
          <w:r>
            <w:fldChar w:fldCharType="end"/>
          </w:r>
          <w:r>
            <w:fldChar w:fldCharType="end"/>
          </w:r>
        </w:p>
        <w:p>
          <w:pPr>
            <w:rPr>
              <w:b/>
              <w:bCs/>
              <w:lang w:val="zh-CN"/>
            </w:rPr>
          </w:pPr>
          <w:r>
            <w:rPr>
              <w:b/>
              <w:bCs/>
              <w:lang w:val="zh-CN"/>
            </w:rPr>
            <w:fldChar w:fldCharType="end"/>
          </w:r>
        </w:p>
        <w:p>
          <w:pPr>
            <w:rPr>
              <w:rFonts w:cs="Tahoma"/>
              <w:color w:val="000000"/>
              <w:sz w:val="24"/>
              <w:szCs w:val="24"/>
            </w:rPr>
          </w:pPr>
        </w:p>
        <w:p>
          <w:pPr>
            <w:rPr>
              <w:rFonts w:cs="Tahoma"/>
              <w:color w:val="000000"/>
              <w:sz w:val="24"/>
              <w:szCs w:val="24"/>
            </w:rPr>
          </w:pPr>
        </w:p>
        <w:p>
          <w:pPr>
            <w:rPr>
              <w:rFonts w:cs="Tahoma"/>
              <w:color w:val="000000"/>
              <w:sz w:val="24"/>
              <w:szCs w:val="24"/>
            </w:rPr>
          </w:pPr>
        </w:p>
        <w:p>
          <w:pPr>
            <w:rPr>
              <w:rFonts w:cs="Tahoma"/>
              <w:color w:val="000000"/>
              <w:sz w:val="24"/>
              <w:szCs w:val="24"/>
            </w:rPr>
          </w:pPr>
        </w:p>
      </w:sdtContent>
    </w:sdt>
    <w:p>
      <w:pPr>
        <w:pStyle w:val="2"/>
        <w:jc w:val="center"/>
        <w:rPr>
          <w:rFonts w:ascii="微软雅黑" w:hAnsi="微软雅黑" w:eastAsia="微软雅黑"/>
          <w:b/>
          <w:sz w:val="32"/>
          <w:szCs w:val="32"/>
        </w:rPr>
      </w:pPr>
      <w:bookmarkStart w:id="0" w:name="_Toc533510620"/>
      <w:r>
        <w:rPr>
          <w:rFonts w:hint="eastAsia" w:ascii="微软雅黑" w:hAnsi="微软雅黑" w:eastAsia="微软雅黑"/>
          <w:b/>
          <w:sz w:val="32"/>
          <w:szCs w:val="32"/>
        </w:rPr>
        <w:t>一、学校概况</w:t>
      </w:r>
      <w:bookmarkEnd w:id="0"/>
    </w:p>
    <w:p>
      <w:pPr>
        <w:pStyle w:val="22"/>
        <w:shd w:val="clear" w:color="auto" w:fill="FFFFFF"/>
        <w:spacing w:before="156" w:beforeLines="50" w:beforeAutospacing="0" w:after="240" w:afterAutospacing="0" w:line="500" w:lineRule="exact"/>
        <w:ind w:firstLine="580"/>
        <w:rPr>
          <w:rFonts w:ascii="Tahoma" w:hAnsi="Tahoma" w:cs="Tahoma"/>
          <w:color w:val="5E5E5E"/>
          <w:sz w:val="28"/>
          <w:szCs w:val="28"/>
        </w:rPr>
      </w:pPr>
      <w:r>
        <w:rPr>
          <w:rFonts w:hint="eastAsia" w:cs="Tahoma"/>
          <w:color w:val="000000"/>
          <w:sz w:val="28"/>
          <w:szCs w:val="28"/>
        </w:rPr>
        <w:t>重庆医药高等专科学校是经教育部批准设立的公办全日制普通高等专科学校，位于重庆市文化名区——沙坪坝区大学城。学校始创于1948年的中国人民解放军华东野战军第一后方医院卫生学校，经过70年的办学锤炼，积累了丰富的办学经验，办学水平和人才培养质量得到社会的广泛认可。近年来，时任中共中央政治局常委、全国人大常委会委员长张德江，时任国务院副总理刘延东等党和国家领导人先后视察学校，充分肯定了学校的办学水平。</w:t>
      </w:r>
    </w:p>
    <w:p>
      <w:pPr>
        <w:pStyle w:val="22"/>
        <w:shd w:val="clear" w:color="auto" w:fill="FFFFFF"/>
        <w:spacing w:before="156" w:beforeLines="50" w:beforeAutospacing="0" w:after="240" w:afterAutospacing="0" w:line="500" w:lineRule="exact"/>
        <w:ind w:firstLine="580"/>
        <w:rPr>
          <w:rFonts w:ascii="Tahoma" w:hAnsi="Tahoma" w:cs="Tahoma"/>
          <w:color w:val="5E5E5E"/>
          <w:sz w:val="28"/>
          <w:szCs w:val="28"/>
        </w:rPr>
      </w:pPr>
      <w:r>
        <w:rPr>
          <w:rFonts w:hint="eastAsia" w:cs="Tahoma"/>
          <w:color w:val="000000"/>
          <w:sz w:val="28"/>
          <w:szCs w:val="28"/>
        </w:rPr>
        <w:t>学校是重庆市示范性高等职业院校、重庆市优质高等职业院校立项建设单位、中国青少年心理健康、性健康、防艾及慈善教育示范学校、重庆市出国卫生人员培训基地、首批全国职业院校养老服务类示范专业点、首批全国职业院校健康服务类示范专业点。学校是教育部高职高专药学专业、中药学专业、护理专业、医学检验技术专业、康复治疗技术专业骨干教师国家级培训项目基地，国家卫生职业技能鉴定站，国家执业医师考试实践技能考试站。学校是教育部药学专业、护理专业、食品营养与检测专业教学资源库建设牵头单位，是中国护理职业教育联盟副理事长单位，是教育部、卫生部“专科临床医学（3+2）卓越医生教育培养计划项目”试点学校，是教育部中医学专业现代学徒制试点学校，是全国第一家定向培养基层卫生专业直招士官的医药卫生行业学校。</w:t>
      </w:r>
    </w:p>
    <w:p>
      <w:pPr>
        <w:pStyle w:val="22"/>
        <w:shd w:val="clear" w:color="auto" w:fill="FFFFFF"/>
        <w:spacing w:before="156" w:beforeLines="50" w:beforeAutospacing="0" w:after="240" w:afterAutospacing="0" w:line="500" w:lineRule="exact"/>
        <w:ind w:firstLine="580"/>
        <w:rPr>
          <w:rFonts w:ascii="Tahoma" w:hAnsi="Tahoma" w:cs="Tahoma"/>
          <w:color w:val="5E5E5E"/>
          <w:sz w:val="28"/>
          <w:szCs w:val="28"/>
        </w:rPr>
      </w:pPr>
      <w:r>
        <w:rPr>
          <w:rFonts w:hint="eastAsia" w:cs="Tahoma"/>
          <w:color w:val="000000"/>
          <w:sz w:val="28"/>
          <w:szCs w:val="28"/>
        </w:rPr>
        <w:t>学校先后荣获全国卫生系统先进单位、全国五四红旗团委、全国教科文卫体系统先进工会组织、全国“巾帼文明岗”、全国女职工培训示范学校、全国大学生“三下乡”社会实践先进团队、全国“青爱工程”十大标杆学校等称号，荣获重庆市文明单位、重庆市职业技术教育先进集体、重庆市高等学校教学质量与教学改革工程先进单位、重庆市大中专毕业生就业工作先进集体、重庆市德育特色学校、重庆市五一劳动奖状等殊荣。学校获得全国高职高专药品（药学）类专业建设成果优秀奖、国家“黄炎培优秀理论奖”和重庆市“黄炎培优秀学校奖”。</w:t>
      </w:r>
    </w:p>
    <w:p>
      <w:pPr>
        <w:pStyle w:val="22"/>
        <w:shd w:val="clear" w:color="auto" w:fill="FFFFFF"/>
        <w:spacing w:before="156" w:beforeLines="50" w:beforeAutospacing="0" w:after="240" w:afterAutospacing="0" w:line="500" w:lineRule="exact"/>
        <w:ind w:firstLine="580"/>
        <w:rPr>
          <w:rFonts w:ascii="Tahoma" w:hAnsi="Tahoma" w:cs="Tahoma"/>
          <w:color w:val="5E5E5E"/>
          <w:sz w:val="28"/>
          <w:szCs w:val="28"/>
        </w:rPr>
      </w:pPr>
      <w:r>
        <w:rPr>
          <w:rFonts w:hint="eastAsia" w:cs="Tahoma"/>
          <w:color w:val="000000"/>
          <w:sz w:val="28"/>
          <w:szCs w:val="28"/>
        </w:rPr>
        <w:t>学校本部占地面积近40万平方米，资产总额8亿，图书馆藏书50多万册，建有万兆级无线网络、云计算中心、13个信息化应用业务系统，学校为重庆市教育信息化试点单位和重庆市智慧校园试点单位。校本部教授、副教授等副高以上专业技术人员200余人，“双师”素质教师270余人，具有硕士及以上学位的教师200余人，其中博士学位50余人。有国家级优秀教学科研团队1个、国家级精品课程、国家级精品资源共享课程各1门。拥有全国名老中医学术传承工作室专家、国家卫生职业教育教学指导委员会校院合作专委会主任委员、国家卫生职业教育教学指导委员会委员、全国食品药品教学指导委员会药物制剂专业委员会主任委员、全国优秀教师、全国青少年培养导师、重庆市名师、重庆市最受喜爱的健康卫士、重庆市名中医指导教师、重庆市学术技术带头人、重庆市十佳教师、重庆市教书育人楷模、重庆中医药学会会长、重庆市全科医学会会长等为代表的优秀师资队伍。学校近三年担任全国教材主编120余人次、副主编120余人次，立项各级各类科研教研项目300余项，获省部级以上科技成果奖和社科成果奖6项，省部级教学成果奖一等奖2项，二等奖3项。近三年，教师在核心期刊上发表论文338篇，其中SCI 48篇，EI 6篇，CSCD及核心期刊183篇。</w:t>
      </w:r>
    </w:p>
    <w:p>
      <w:pPr>
        <w:pStyle w:val="22"/>
        <w:shd w:val="clear" w:color="auto" w:fill="FFFFFF"/>
        <w:spacing w:before="156" w:beforeLines="50" w:beforeAutospacing="0" w:after="240" w:afterAutospacing="0" w:line="500" w:lineRule="exact"/>
        <w:ind w:firstLine="580"/>
        <w:rPr>
          <w:rFonts w:ascii="Tahoma" w:hAnsi="Tahoma" w:cs="Tahoma"/>
          <w:color w:val="5E5E5E"/>
          <w:sz w:val="28"/>
          <w:szCs w:val="28"/>
        </w:rPr>
      </w:pPr>
      <w:r>
        <w:rPr>
          <w:rFonts w:hint="eastAsia" w:cs="Tahoma"/>
          <w:color w:val="000000"/>
          <w:sz w:val="28"/>
          <w:szCs w:val="28"/>
        </w:rPr>
        <w:t>学校面向全国17个省市招生，有全日制普通大专学生近12000人。学校开设有药学、护理、医学检验技术、临床医学、中医学、助产、康复治疗技术、医学美容技术、药品生产技术、制药设备应用技术、药品经营与管理、药品质量与安全、中药学、卫生检验与检疫技术、食品营养与检测、针灸推拿、眼视光技术、医学影像技术、医疗设备应用技术等19个大专专业，形成了全日制教育、成人教育、继续教育等多层次办学格局。</w:t>
      </w:r>
    </w:p>
    <w:p>
      <w:pPr>
        <w:pStyle w:val="22"/>
        <w:shd w:val="clear" w:color="auto" w:fill="FFFFFF"/>
        <w:spacing w:before="156" w:beforeLines="50" w:beforeAutospacing="0" w:after="240" w:afterAutospacing="0" w:line="500" w:lineRule="exact"/>
        <w:ind w:firstLine="580"/>
        <w:rPr>
          <w:rFonts w:ascii="Tahoma" w:hAnsi="Tahoma" w:cs="Tahoma"/>
          <w:color w:val="5E5E5E"/>
          <w:sz w:val="28"/>
          <w:szCs w:val="28"/>
        </w:rPr>
      </w:pPr>
      <w:r>
        <w:rPr>
          <w:rFonts w:hint="eastAsia" w:cs="Tahoma"/>
          <w:color w:val="000000"/>
          <w:sz w:val="28"/>
          <w:szCs w:val="28"/>
        </w:rPr>
        <w:t>学校坚持“校企院合作、集团化办学”的办学模式，联合全国172家知名职业院校、医疗卫生机构和医药企业，牵头成立了重庆医药职业教育集团。依托职教集团，成立了校院企深度合作的“亚信学院”、“太极学院”、“鸿翔学院”、“华博学院”、“迈克学院”、“忆念美学院”、“宽仁康复学院”、“助产士学院”、“柯渡医疗设备管理维护工程中心”、“希尔安班”等。有近三分之一的毕业生在集团内就业。学校有中央财政支持的药物制剂技术高等职业教育实训基地和护理高等职业教育实训基地、有地方财政支持的生物制药技术高等职业教育实训基地；有重庆市高职高专院校中首家工程技术研究中心、重庆高校中首家模拟GMP药学实训工厂。有重庆市医学检验试剂研究所等独立设置的研究机构；有1所附属医院、11所非直管附属医院、18所教学医院及大中型制药厂、医药公司、医院等校外实习基地100多家。近三年毕业生平均就业率98%以上，学生职业资格考试通过率、双证获取率97%以上，专业对口率96%以上。重庆市教育评估院最近连续三年评估数据显示，我校毕业生就业率、就业质量等多项指标名列全市高职高专院校前茅。</w:t>
      </w:r>
    </w:p>
    <w:p>
      <w:pPr>
        <w:pStyle w:val="22"/>
        <w:shd w:val="clear" w:color="auto" w:fill="FFFFFF"/>
        <w:spacing w:before="156" w:beforeLines="50" w:beforeAutospacing="0" w:after="240" w:afterAutospacing="0" w:line="500" w:lineRule="exact"/>
        <w:ind w:firstLine="580"/>
        <w:rPr>
          <w:rFonts w:ascii="Tahoma" w:hAnsi="Tahoma" w:cs="Tahoma"/>
          <w:color w:val="5E5E5E"/>
          <w:sz w:val="28"/>
          <w:szCs w:val="28"/>
        </w:rPr>
      </w:pPr>
      <w:r>
        <w:rPr>
          <w:rFonts w:hint="eastAsia" w:cs="Tahoma"/>
          <w:color w:val="000000"/>
          <w:sz w:val="28"/>
          <w:szCs w:val="28"/>
        </w:rPr>
        <w:t>学校位于文化氛围浓郁的重庆大学城，这里青山常翠、碧水常流，高校云集、英才荟萃，这里资源共享、教师互聘、学分互认、课程互选、信息互通。新型的教育城、人才城、科技城、生态城为重庆医药高等专科学校提供了得天独厚的发展空间。</w:t>
      </w:r>
    </w:p>
    <w:p>
      <w:pPr>
        <w:pStyle w:val="22"/>
        <w:shd w:val="clear" w:color="auto" w:fill="FFFFFF"/>
        <w:spacing w:before="156" w:beforeLines="50" w:beforeAutospacing="0" w:after="240" w:afterAutospacing="0" w:line="500" w:lineRule="exact"/>
        <w:ind w:firstLine="580"/>
        <w:rPr>
          <w:rFonts w:cs="Tahoma"/>
          <w:color w:val="000000"/>
          <w:sz w:val="28"/>
          <w:szCs w:val="28"/>
        </w:rPr>
      </w:pPr>
      <w:r>
        <w:rPr>
          <w:rFonts w:hint="eastAsia" w:cs="Tahoma"/>
          <w:color w:val="000000"/>
          <w:sz w:val="28"/>
          <w:szCs w:val="28"/>
        </w:rPr>
        <w:t>学校秉承“以生为本，立德树人”的办学理念，弘扬“笃学求真，懿德善能”的校训，发扬“求同存异，齐心协力”的团队精神、“知难而进，追求卓越”的进取精神、“负重自强，艰苦奋斗”的创业精神、“甘于奉献、勇于担当”的敬业精神、“救死扶伤、精益求精”的职业精神，遵循“弘德善教，爱生律己”的优良教风和“修德勤学，尊师守纪”的优良学风，紧贴重庆和西部地区基层医疗卫生事业、药品生产经营行业、健康相关产业发展需要，培养具有良好医药人文素养和发展潜质的高素质技术技能型专门人才。努力把学校建设成为优势突出、特色鲜明、西部领先、国内知名的医药高等职业院校。</w:t>
      </w:r>
    </w:p>
    <w:p>
      <w:pPr>
        <w:pStyle w:val="22"/>
        <w:shd w:val="clear" w:color="auto" w:fill="FFFFFF"/>
        <w:spacing w:before="156" w:beforeLines="50" w:beforeAutospacing="0" w:after="240" w:afterAutospacing="0" w:line="500" w:lineRule="exact"/>
        <w:ind w:firstLine="580"/>
        <w:rPr>
          <w:rFonts w:cs="Tahoma"/>
          <w:color w:val="000000"/>
        </w:rPr>
      </w:pPr>
    </w:p>
    <w:p>
      <w:pPr>
        <w:pStyle w:val="22"/>
        <w:shd w:val="clear" w:color="auto" w:fill="FFFFFF"/>
        <w:spacing w:before="156" w:beforeLines="50" w:beforeAutospacing="0" w:after="240" w:afterAutospacing="0" w:line="500" w:lineRule="exact"/>
        <w:ind w:firstLine="580"/>
        <w:rPr>
          <w:rFonts w:cs="Tahoma"/>
          <w:color w:val="000000"/>
        </w:rPr>
      </w:pPr>
    </w:p>
    <w:p>
      <w:pPr>
        <w:pStyle w:val="22"/>
        <w:shd w:val="clear" w:color="auto" w:fill="FFFFFF"/>
        <w:spacing w:before="156" w:beforeLines="50" w:beforeAutospacing="0" w:after="240" w:afterAutospacing="0" w:line="500" w:lineRule="exact"/>
        <w:rPr>
          <w:rFonts w:ascii="Tahoma" w:hAnsi="Tahoma" w:cs="Tahoma"/>
          <w:color w:val="5E5E5E"/>
        </w:rPr>
      </w:pPr>
    </w:p>
    <w:p>
      <w:pPr>
        <w:pStyle w:val="2"/>
        <w:jc w:val="center"/>
        <w:rPr>
          <w:rFonts w:ascii="微软雅黑" w:hAnsi="微软雅黑" w:eastAsia="微软雅黑"/>
          <w:b/>
          <w:sz w:val="32"/>
          <w:szCs w:val="32"/>
        </w:rPr>
      </w:pPr>
      <w:bookmarkStart w:id="1" w:name="_Toc533510621"/>
      <w:r>
        <w:rPr>
          <w:rFonts w:hint="eastAsia" w:ascii="微软雅黑" w:hAnsi="微软雅黑" w:eastAsia="微软雅黑"/>
          <w:b/>
          <w:sz w:val="32"/>
          <w:szCs w:val="32"/>
        </w:rPr>
        <w:t>二、报告说明</w:t>
      </w:r>
      <w:bookmarkEnd w:id="1"/>
    </w:p>
    <w:p>
      <w:pPr>
        <w:widowControl w:val="0"/>
        <w:autoSpaceDE w:val="0"/>
        <w:autoSpaceDN w:val="0"/>
        <w:adjustRightInd w:val="0"/>
        <w:spacing w:line="360" w:lineRule="auto"/>
        <w:ind w:firstLine="560" w:firstLineChars="200"/>
        <w:rPr>
          <w:rFonts w:ascii="宋体" w:eastAsia="宋体" w:cs="宋体"/>
          <w:color w:val="000000"/>
          <w:sz w:val="28"/>
          <w:szCs w:val="28"/>
        </w:rPr>
      </w:pPr>
      <w:r>
        <w:rPr>
          <w:rFonts w:hint="eastAsia" w:ascii="宋体" w:eastAsia="宋体" w:cs="宋体"/>
          <w:color w:val="000000"/>
          <w:sz w:val="28"/>
          <w:szCs w:val="28"/>
        </w:rPr>
        <w:t>为全面反映毕业生的就业状况，建立起就业与人才培养良性互动的长效机制，学校根据《教育部办公厅关于编制发布高校毕业生就业质量年度报告的通知》（教学厅函</w:t>
      </w:r>
      <w:r>
        <w:rPr>
          <w:rFonts w:ascii="宋体" w:eastAsia="宋体" w:cs="宋体"/>
          <w:color w:val="000000"/>
          <w:sz w:val="28"/>
          <w:szCs w:val="28"/>
        </w:rPr>
        <w:t xml:space="preserve">[2013]25 </w:t>
      </w:r>
      <w:r>
        <w:rPr>
          <w:rFonts w:hint="eastAsia" w:ascii="宋体" w:eastAsia="宋体" w:cs="宋体"/>
          <w:color w:val="000000"/>
          <w:sz w:val="28"/>
          <w:szCs w:val="28"/>
        </w:rPr>
        <w:t>号）文件要求，编制和正式发布《重庆医药高等专科学校</w:t>
      </w:r>
      <w:r>
        <w:rPr>
          <w:rFonts w:ascii="宋体" w:eastAsia="宋体" w:cs="宋体"/>
          <w:color w:val="000000"/>
          <w:sz w:val="28"/>
          <w:szCs w:val="28"/>
        </w:rPr>
        <w:t xml:space="preserve"> 201</w:t>
      </w:r>
      <w:r>
        <w:rPr>
          <w:rFonts w:hint="eastAsia" w:ascii="宋体" w:eastAsia="宋体" w:cs="宋体"/>
          <w:color w:val="000000"/>
          <w:sz w:val="28"/>
          <w:szCs w:val="28"/>
        </w:rPr>
        <w:t>8</w:t>
      </w:r>
      <w:r>
        <w:rPr>
          <w:rFonts w:ascii="宋体" w:eastAsia="宋体" w:cs="宋体"/>
          <w:color w:val="000000"/>
          <w:sz w:val="28"/>
          <w:szCs w:val="28"/>
        </w:rPr>
        <w:t xml:space="preserve"> </w:t>
      </w:r>
      <w:r>
        <w:rPr>
          <w:rFonts w:hint="eastAsia" w:ascii="宋体" w:eastAsia="宋体" w:cs="宋体"/>
          <w:color w:val="000000"/>
          <w:sz w:val="28"/>
          <w:szCs w:val="28"/>
        </w:rPr>
        <w:t>届毕业生就业质量年度报告》。本报告数据来源于两个方面</w:t>
      </w:r>
      <w:r>
        <w:rPr>
          <w:rFonts w:ascii="宋体" w:eastAsia="宋体" w:cs="宋体"/>
          <w:color w:val="000000"/>
          <w:sz w:val="28"/>
          <w:szCs w:val="28"/>
        </w:rPr>
        <w:t xml:space="preserve">: </w:t>
      </w:r>
    </w:p>
    <w:p>
      <w:pPr>
        <w:widowControl w:val="0"/>
        <w:autoSpaceDE w:val="0"/>
        <w:autoSpaceDN w:val="0"/>
        <w:adjustRightInd w:val="0"/>
        <w:spacing w:line="360" w:lineRule="auto"/>
        <w:ind w:firstLine="560" w:firstLineChars="200"/>
        <w:rPr>
          <w:rFonts w:ascii="宋体" w:hAnsi="Times New Roman" w:eastAsia="宋体" w:cs="宋体"/>
          <w:color w:val="000000"/>
          <w:sz w:val="28"/>
          <w:szCs w:val="28"/>
        </w:rPr>
      </w:pPr>
      <w:r>
        <w:rPr>
          <w:rFonts w:ascii="宋体" w:eastAsia="宋体" w:cs="宋体"/>
          <w:color w:val="000000"/>
          <w:sz w:val="28"/>
          <w:szCs w:val="28"/>
        </w:rPr>
        <w:t>1.</w:t>
      </w:r>
      <w:r>
        <w:rPr>
          <w:rFonts w:hint="eastAsia" w:ascii="宋体" w:eastAsia="宋体" w:cs="宋体"/>
          <w:color w:val="000000"/>
          <w:sz w:val="28"/>
          <w:szCs w:val="28"/>
        </w:rPr>
        <w:t xml:space="preserve"> 重庆市大学中专毕业生就业办公信息系统。数据统计截止日期为</w:t>
      </w:r>
      <w:r>
        <w:rPr>
          <w:rFonts w:ascii="Times New Roman" w:hAnsi="Times New Roman" w:eastAsia="宋体" w:cs="Times New Roman"/>
          <w:color w:val="000000"/>
          <w:sz w:val="28"/>
          <w:szCs w:val="28"/>
        </w:rPr>
        <w:t>201</w:t>
      </w:r>
      <w:r>
        <w:rPr>
          <w:rFonts w:hint="eastAsia" w:ascii="Times New Roman" w:hAnsi="Times New Roman" w:eastAsia="宋体" w:cs="Times New Roman"/>
          <w:color w:val="000000"/>
          <w:sz w:val="28"/>
          <w:szCs w:val="28"/>
        </w:rPr>
        <w:t>8</w:t>
      </w:r>
      <w:r>
        <w:rPr>
          <w:rFonts w:hint="eastAsia" w:ascii="宋体" w:hAnsi="Times New Roman" w:eastAsia="宋体" w:cs="宋体"/>
          <w:color w:val="000000"/>
          <w:sz w:val="28"/>
          <w:szCs w:val="28"/>
        </w:rPr>
        <w:t>年</w:t>
      </w:r>
      <w:r>
        <w:rPr>
          <w:rFonts w:ascii="Times New Roman" w:hAnsi="Times New Roman" w:eastAsia="宋体" w:cs="Times New Roman"/>
          <w:color w:val="000000"/>
          <w:sz w:val="28"/>
          <w:szCs w:val="28"/>
        </w:rPr>
        <w:t>12</w:t>
      </w:r>
      <w:r>
        <w:rPr>
          <w:rFonts w:hint="eastAsia" w:ascii="宋体" w:hAnsi="Times New Roman" w:eastAsia="宋体" w:cs="宋体"/>
          <w:color w:val="000000"/>
          <w:sz w:val="28"/>
          <w:szCs w:val="28"/>
        </w:rPr>
        <w:t>月</w:t>
      </w:r>
      <w:r>
        <w:rPr>
          <w:rFonts w:ascii="Times New Roman" w:hAnsi="Times New Roman" w:eastAsia="宋体" w:cs="Times New Roman"/>
          <w:color w:val="000000"/>
          <w:sz w:val="28"/>
          <w:szCs w:val="28"/>
        </w:rPr>
        <w:t>7</w:t>
      </w:r>
      <w:r>
        <w:rPr>
          <w:rFonts w:hint="eastAsia" w:ascii="宋体" w:hAnsi="Times New Roman" w:eastAsia="宋体" w:cs="宋体"/>
          <w:color w:val="000000"/>
          <w:sz w:val="28"/>
          <w:szCs w:val="28"/>
        </w:rPr>
        <w:t>日。使用数据主要涉及毕业生的规模和结构、就业率、毕业去向、就业流向等。</w:t>
      </w:r>
      <w:r>
        <w:rPr>
          <w:rFonts w:ascii="宋体" w:hAnsi="Times New Roman" w:eastAsia="宋体" w:cs="宋体"/>
          <w:color w:val="000000"/>
          <w:sz w:val="28"/>
          <w:szCs w:val="28"/>
        </w:rPr>
        <w:t xml:space="preserve"> </w:t>
      </w:r>
    </w:p>
    <w:p>
      <w:pPr>
        <w:spacing w:line="360" w:lineRule="auto"/>
        <w:ind w:firstLine="560" w:firstLineChars="200"/>
        <w:rPr>
          <w:sz w:val="28"/>
          <w:szCs w:val="28"/>
        </w:rPr>
      </w:pPr>
      <w:r>
        <w:rPr>
          <w:rFonts w:ascii="宋体" w:hAnsi="Times New Roman" w:eastAsia="宋体" w:cs="宋体"/>
          <w:color w:val="000000"/>
          <w:sz w:val="28"/>
          <w:szCs w:val="28"/>
        </w:rPr>
        <w:t>2.</w:t>
      </w:r>
      <w:r>
        <w:rPr>
          <w:rFonts w:hint="eastAsia" w:ascii="宋体" w:hAnsi="Times New Roman" w:eastAsia="宋体" w:cs="宋体"/>
          <w:color w:val="000000"/>
          <w:sz w:val="28"/>
          <w:szCs w:val="28"/>
        </w:rPr>
        <w:t>第三方数据调查公司（成都泽奥）调研数据。面向全校</w:t>
      </w:r>
      <w:r>
        <w:rPr>
          <w:rFonts w:ascii="Times New Roman" w:hAnsi="Times New Roman" w:eastAsia="宋体" w:cs="Times New Roman"/>
          <w:color w:val="000000"/>
          <w:sz w:val="28"/>
          <w:szCs w:val="28"/>
        </w:rPr>
        <w:t>201</w:t>
      </w:r>
      <w:r>
        <w:rPr>
          <w:rFonts w:hint="eastAsia" w:ascii="Times New Roman" w:hAnsi="Times New Roman" w:eastAsia="宋体" w:cs="Times New Roman"/>
          <w:color w:val="000000"/>
          <w:sz w:val="28"/>
          <w:szCs w:val="28"/>
        </w:rPr>
        <w:t>8</w:t>
      </w:r>
      <w:r>
        <w:rPr>
          <w:rFonts w:hint="eastAsia" w:ascii="宋体" w:hAnsi="Times New Roman" w:eastAsia="宋体" w:cs="宋体"/>
          <w:color w:val="000000"/>
          <w:sz w:val="28"/>
          <w:szCs w:val="28"/>
        </w:rPr>
        <w:t>届毕业生（4357人）进行抽样调查，有效问卷回收率为</w:t>
      </w:r>
      <w:r>
        <w:rPr>
          <w:rFonts w:hint="eastAsia" w:ascii="Times New Roman" w:hAnsi="Times New Roman" w:eastAsia="宋体" w:cs="Times New Roman"/>
          <w:color w:val="000000"/>
          <w:sz w:val="28"/>
          <w:szCs w:val="28"/>
        </w:rPr>
        <w:t>62.11</w:t>
      </w:r>
      <w:r>
        <w:rPr>
          <w:rFonts w:ascii="Times New Roman" w:hAnsi="Times New Roman" w:eastAsia="宋体" w:cs="Times New Roman"/>
          <w:color w:val="000000"/>
          <w:sz w:val="28"/>
          <w:szCs w:val="28"/>
        </w:rPr>
        <w:t>%</w:t>
      </w:r>
      <w:r>
        <w:rPr>
          <w:rFonts w:hint="eastAsia" w:ascii="宋体" w:hAnsi="Times New Roman" w:eastAsia="宋体" w:cs="宋体"/>
          <w:color w:val="000000"/>
          <w:sz w:val="28"/>
          <w:szCs w:val="28"/>
        </w:rPr>
        <w:t>。使用数据涉及就业相关分析及对教育教学的反馈部分。</w:t>
      </w:r>
    </w:p>
    <w:p/>
    <w:p/>
    <w:p/>
    <w:p/>
    <w:p/>
    <w:p/>
    <w:p/>
    <w:p/>
    <w:p/>
    <w:p/>
    <w:p>
      <w:pPr>
        <w:pStyle w:val="2"/>
        <w:jc w:val="center"/>
        <w:rPr>
          <w:rFonts w:ascii="微软雅黑" w:hAnsi="微软雅黑" w:eastAsia="微软雅黑"/>
          <w:b/>
          <w:sz w:val="32"/>
          <w:szCs w:val="32"/>
        </w:rPr>
      </w:pPr>
      <w:bookmarkStart w:id="2" w:name="_Toc533510622"/>
      <w:r>
        <w:rPr>
          <w:rFonts w:hint="eastAsia" w:ascii="微软雅黑" w:hAnsi="微软雅黑" w:eastAsia="微软雅黑"/>
          <w:b/>
          <w:sz w:val="32"/>
          <w:szCs w:val="32"/>
        </w:rPr>
        <w:t>第一篇：毕业生就业基本情况</w:t>
      </w:r>
      <w:bookmarkEnd w:id="2"/>
    </w:p>
    <w:p>
      <w:pPr>
        <w:pStyle w:val="3"/>
      </w:pPr>
      <w:bookmarkStart w:id="3" w:name="_Toc533510623"/>
      <w:r>
        <w:rPr>
          <w:rFonts w:hint="eastAsia"/>
        </w:rPr>
        <w:t>一、毕业生的规模和结构</w:t>
      </w:r>
      <w:bookmarkEnd w:id="3"/>
    </w:p>
    <w:p>
      <w:pPr>
        <w:pStyle w:val="4"/>
      </w:pPr>
      <w:bookmarkStart w:id="4" w:name="_Toc533510624"/>
      <w:r>
        <w:rPr>
          <w:rFonts w:hint="eastAsia"/>
        </w:rPr>
        <w:t>（一）总体规模</w:t>
      </w:r>
      <w:bookmarkEnd w:id="4"/>
    </w:p>
    <w:p>
      <w:pPr>
        <w:spacing w:before="156" w:beforeLines="50" w:line="500" w:lineRule="exact"/>
        <w:ind w:firstLine="560" w:firstLineChars="200"/>
        <w:rPr>
          <w:rFonts w:ascii="宋体" w:hAnsi="宋体" w:eastAsia="宋体"/>
          <w:sz w:val="28"/>
          <w:szCs w:val="28"/>
        </w:rPr>
      </w:pPr>
      <w:r>
        <w:rPr>
          <w:rFonts w:hint="eastAsia" w:ascii="宋体" w:hAnsi="宋体" w:eastAsia="宋体"/>
          <w:sz w:val="28"/>
          <w:szCs w:val="28"/>
        </w:rPr>
        <w:t>2018届毕业生共计4357人。护理学院生源规模最大（1451人），其次是药学院（1079人），再次临床医学院（1030人），医学技术学院（528人，）基础部（190人）、中医学院（79人）。</w:t>
      </w:r>
    </w:p>
    <w:p>
      <w:pPr>
        <w:jc w:val="center"/>
        <w:rPr>
          <w:rFonts w:ascii="黑体" w:hAnsi="黑体" w:eastAsia="黑体"/>
        </w:rPr>
      </w:pPr>
      <w:r>
        <w:rPr>
          <w:rFonts w:hint="eastAsia" w:ascii="黑体" w:hAnsi="黑体" w:eastAsia="黑体"/>
        </w:rPr>
        <w:t>图</w:t>
      </w:r>
      <w:r>
        <w:rPr>
          <w:rFonts w:ascii="黑体" w:hAnsi="黑体" w:eastAsia="黑体" w:cs="Times New Roman"/>
          <w:bCs/>
        </w:rPr>
        <w:t>1-1 201</w:t>
      </w:r>
      <w:r>
        <w:rPr>
          <w:rFonts w:hint="eastAsia" w:ascii="黑体" w:hAnsi="黑体" w:eastAsia="黑体" w:cs="Times New Roman"/>
          <w:bCs/>
        </w:rPr>
        <w:t>8</w:t>
      </w:r>
      <w:r>
        <w:rPr>
          <w:rFonts w:hint="eastAsia" w:ascii="黑体" w:hAnsi="黑体" w:eastAsia="黑体"/>
        </w:rPr>
        <w:t>届毕业生院系毕业生数量</w:t>
      </w:r>
      <w:r>
        <w:rPr>
          <w:rFonts w:ascii="黑体" w:hAnsi="黑体" w:eastAsia="黑体"/>
        </w:rPr>
        <w:t xml:space="preserve"> </w:t>
      </w:r>
      <w:r>
        <w:rPr>
          <w:rFonts w:ascii="黑体" w:hAnsi="黑体" w:eastAsia="黑体"/>
        </w:rPr>
        <w:drawing>
          <wp:anchor distT="0" distB="0" distL="114300" distR="114300" simplePos="0" relativeHeight="251692032" behindDoc="0" locked="0" layoutInCell="1" allowOverlap="1">
            <wp:simplePos x="0" y="0"/>
            <wp:positionH relativeFrom="column">
              <wp:posOffset>1905</wp:posOffset>
            </wp:positionH>
            <wp:positionV relativeFrom="paragraph">
              <wp:posOffset>118110</wp:posOffset>
            </wp:positionV>
            <wp:extent cx="5991225" cy="2828925"/>
            <wp:effectExtent l="0" t="0" r="9525" b="9525"/>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spacing w:before="156" w:beforeLines="50" w:line="500" w:lineRule="exact"/>
        <w:rPr>
          <w:rFonts w:ascii="宋体" w:hAnsi="宋体" w:eastAsia="宋体"/>
          <w:sz w:val="20"/>
          <w:szCs w:val="20"/>
        </w:rPr>
      </w:pPr>
      <w:r>
        <w:rPr>
          <w:rFonts w:hint="eastAsia" w:ascii="宋体" w:hAnsi="宋体" w:eastAsia="宋体"/>
          <w:sz w:val="20"/>
          <w:szCs w:val="20"/>
        </w:rPr>
        <w:t>数据来源：重庆市大学中专毕业生就业办公信息系统</w:t>
      </w:r>
    </w:p>
    <w:p>
      <w:pPr>
        <w:pStyle w:val="4"/>
      </w:pPr>
      <w:bookmarkStart w:id="5" w:name="_Toc533510625"/>
      <w:r>
        <w:rPr>
          <w:rFonts w:hint="eastAsia"/>
        </w:rPr>
        <w:t>（二）结构分布</w:t>
      </w:r>
      <w:bookmarkEnd w:id="5"/>
    </w:p>
    <w:p>
      <w:pPr>
        <w:spacing w:before="156" w:beforeLines="50" w:line="500" w:lineRule="exact"/>
        <w:ind w:firstLine="551" w:firstLineChars="196"/>
        <w:rPr>
          <w:rFonts w:ascii="宋体" w:hAnsi="宋体" w:eastAsia="宋体"/>
          <w:sz w:val="28"/>
          <w:szCs w:val="28"/>
        </w:rPr>
      </w:pPr>
      <w:r>
        <w:rPr>
          <w:rFonts w:hint="eastAsia" w:ascii="宋体" w:hAnsi="宋体" w:eastAsia="宋体"/>
          <w:b/>
          <w:sz w:val="28"/>
          <w:szCs w:val="28"/>
        </w:rPr>
        <w:t>院系结构：</w:t>
      </w:r>
      <w:r>
        <w:rPr>
          <w:rFonts w:hint="eastAsia" w:ascii="宋体" w:hAnsi="宋体" w:eastAsia="宋体"/>
          <w:sz w:val="28"/>
          <w:szCs w:val="28"/>
        </w:rPr>
        <w:t>2018届毕业生共分布在6个学院22个专业，毕业生人数位居前三位的学院：首先是护理学院（33.30%，含2个专业），其次是药学院（24.76%，含8个专业），再次是临床医学院（23.64%，含4个专业）。具体如下表：</w:t>
      </w:r>
    </w:p>
    <w:p>
      <w:pPr>
        <w:spacing w:before="156" w:beforeLines="50" w:line="500" w:lineRule="exact"/>
        <w:jc w:val="center"/>
        <w:rPr>
          <w:rFonts w:ascii="黑体" w:hAnsi="黑体" w:eastAsia="黑体"/>
        </w:rPr>
      </w:pPr>
      <w:r>
        <w:rPr>
          <w:rFonts w:hint="eastAsia" w:ascii="黑体" w:hAnsi="黑体" w:eastAsia="黑体"/>
        </w:rPr>
        <w:t>表</w:t>
      </w:r>
      <w:r>
        <w:rPr>
          <w:rFonts w:ascii="黑体" w:hAnsi="黑体" w:eastAsia="黑体" w:cs="Times New Roman"/>
          <w:bCs/>
        </w:rPr>
        <w:t>1-</w:t>
      </w:r>
      <w:r>
        <w:rPr>
          <w:rFonts w:hint="eastAsia" w:ascii="黑体" w:hAnsi="黑体" w:eastAsia="黑体" w:cs="Times New Roman"/>
          <w:bCs/>
        </w:rPr>
        <w:t>1</w:t>
      </w:r>
      <w:r>
        <w:rPr>
          <w:rFonts w:ascii="黑体" w:hAnsi="黑体" w:eastAsia="黑体" w:cs="Times New Roman"/>
          <w:bCs/>
        </w:rPr>
        <w:t xml:space="preserve"> 201</w:t>
      </w:r>
      <w:r>
        <w:rPr>
          <w:rFonts w:hint="eastAsia" w:ascii="黑体" w:hAnsi="黑体" w:eastAsia="黑体" w:cs="Times New Roman"/>
          <w:bCs/>
        </w:rPr>
        <w:t>8</w:t>
      </w:r>
      <w:r>
        <w:rPr>
          <w:rFonts w:hint="eastAsia" w:ascii="黑体" w:hAnsi="黑体" w:eastAsia="黑体"/>
        </w:rPr>
        <w:t>届毕业生院部及专业分布</w:t>
      </w:r>
    </w:p>
    <w:tbl>
      <w:tblPr>
        <w:tblStyle w:val="49"/>
        <w:tblW w:w="9639" w:type="dxa"/>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
      <w:tblGrid>
        <w:gridCol w:w="1560"/>
        <w:gridCol w:w="1275"/>
        <w:gridCol w:w="1276"/>
        <w:gridCol w:w="2552"/>
        <w:gridCol w:w="1275"/>
        <w:gridCol w:w="1701"/>
      </w:tblGrid>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r>
              <w:rPr>
                <w:rFonts w:hint="eastAsia" w:ascii="宋体" w:hAnsi="宋体" w:eastAsia="宋体" w:cs="宋体"/>
                <w:b/>
                <w:bCs/>
                <w:i w:val="0"/>
                <w:iCs/>
                <w:color w:val="FFFFFF" w:themeColor="background1"/>
                <w:sz w:val="20"/>
                <w:szCs w:val="20"/>
                <w14:textFill>
                  <w14:solidFill>
                    <w14:schemeClr w14:val="bg1"/>
                  </w14:solidFill>
                </w14:textFill>
              </w:rPr>
              <w:t>学院</w:t>
            </w:r>
          </w:p>
        </w:tc>
        <w:tc>
          <w:tcPr>
            <w:tcW w:w="1275" w:type="dxa"/>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r>
              <w:rPr>
                <w:rFonts w:hint="eastAsia" w:ascii="宋体" w:hAnsi="宋体" w:eastAsia="宋体" w:cs="宋体"/>
                <w:b/>
                <w:bCs/>
                <w:i w:val="0"/>
                <w:iCs/>
                <w:color w:val="FFFFFF" w:themeColor="background1"/>
                <w:sz w:val="20"/>
                <w:szCs w:val="20"/>
                <w14:textFill>
                  <w14:solidFill>
                    <w14:schemeClr w14:val="bg1"/>
                  </w14:solidFill>
                </w14:textFill>
              </w:rPr>
              <w:t>人数</w:t>
            </w:r>
          </w:p>
        </w:tc>
        <w:tc>
          <w:tcPr>
            <w:tcW w:w="1276" w:type="dxa"/>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r>
              <w:rPr>
                <w:rFonts w:hint="eastAsia" w:ascii="宋体" w:hAnsi="宋体" w:eastAsia="宋体" w:cs="宋体"/>
                <w:b/>
                <w:bCs/>
                <w:i w:val="0"/>
                <w:iCs/>
                <w:color w:val="FFFFFF" w:themeColor="background1"/>
                <w:sz w:val="20"/>
                <w:szCs w:val="20"/>
                <w14:textFill>
                  <w14:solidFill>
                    <w14:schemeClr w14:val="bg1"/>
                  </w14:solidFill>
                </w14:textFill>
              </w:rPr>
              <w:t>百分比</w:t>
            </w:r>
          </w:p>
        </w:tc>
        <w:tc>
          <w:tcPr>
            <w:tcW w:w="2552" w:type="dxa"/>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r>
              <w:rPr>
                <w:rFonts w:hint="eastAsia" w:ascii="宋体" w:hAnsi="宋体" w:eastAsia="宋体" w:cs="宋体"/>
                <w:b/>
                <w:bCs/>
                <w:i w:val="0"/>
                <w:iCs/>
                <w:color w:val="FFFFFF" w:themeColor="background1"/>
                <w:sz w:val="20"/>
                <w:szCs w:val="20"/>
                <w14:textFill>
                  <w14:solidFill>
                    <w14:schemeClr w14:val="bg1"/>
                  </w14:solidFill>
                </w14:textFill>
              </w:rPr>
              <w:t>专业</w:t>
            </w:r>
          </w:p>
        </w:tc>
        <w:tc>
          <w:tcPr>
            <w:tcW w:w="1275" w:type="dxa"/>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r>
              <w:rPr>
                <w:rFonts w:hint="eastAsia" w:ascii="宋体" w:hAnsi="宋体" w:eastAsia="宋体" w:cs="宋体"/>
                <w:b/>
                <w:bCs/>
                <w:i w:val="0"/>
                <w:iCs/>
                <w:color w:val="FFFFFF" w:themeColor="background1"/>
                <w:sz w:val="20"/>
                <w:szCs w:val="20"/>
                <w14:textFill>
                  <w14:solidFill>
                    <w14:schemeClr w14:val="bg1"/>
                  </w14:solidFill>
                </w14:textFill>
              </w:rPr>
              <w:t>人数</w:t>
            </w:r>
          </w:p>
        </w:tc>
        <w:tc>
          <w:tcPr>
            <w:tcW w:w="1701" w:type="dxa"/>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r>
              <w:rPr>
                <w:rFonts w:hint="eastAsia" w:ascii="宋体" w:hAnsi="宋体" w:eastAsia="宋体" w:cs="宋体"/>
                <w:b/>
                <w:bCs/>
                <w:i w:val="0"/>
                <w:iCs/>
                <w:color w:val="FFFFFF" w:themeColor="background1"/>
                <w:sz w:val="20"/>
                <w:szCs w:val="20"/>
                <w14:textFill>
                  <w14:solidFill>
                    <w14:schemeClr w14:val="bg1"/>
                  </w14:solidFill>
                </w14:textFill>
              </w:rPr>
              <w:t>百分比</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restart"/>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r>
              <w:rPr>
                <w:rFonts w:hint="eastAsia" w:ascii="宋体" w:hAnsi="宋体" w:eastAsia="宋体" w:cs="宋体"/>
                <w:b/>
                <w:bCs/>
                <w:i w:val="0"/>
                <w:iCs/>
                <w:color w:val="FFFFFF" w:themeColor="background1"/>
                <w:sz w:val="20"/>
                <w:szCs w:val="20"/>
                <w14:textFill>
                  <w14:solidFill>
                    <w14:schemeClr w14:val="bg1"/>
                  </w14:solidFill>
                </w14:textFill>
              </w:rPr>
              <w:t>护理学院</w:t>
            </w:r>
          </w:p>
        </w:tc>
        <w:tc>
          <w:tcPr>
            <w:tcW w:w="1275" w:type="dxa"/>
            <w:vMerge w:val="restar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ascii="宋体" w:hAnsi="宋体" w:eastAsia="宋体" w:cs="宋体"/>
                <w:color w:val="000000"/>
                <w:sz w:val="20"/>
                <w:szCs w:val="20"/>
              </w:rPr>
              <w:t>1451</w:t>
            </w:r>
          </w:p>
        </w:tc>
        <w:tc>
          <w:tcPr>
            <w:tcW w:w="1276" w:type="dxa"/>
            <w:vMerge w:val="restar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33.30%</w:t>
            </w:r>
          </w:p>
        </w:tc>
        <w:tc>
          <w:tcPr>
            <w:tcW w:w="255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护理</w:t>
            </w:r>
          </w:p>
        </w:tc>
        <w:tc>
          <w:tcPr>
            <w:tcW w:w="1275"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1320</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30.30%</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continue"/>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p>
        </w:tc>
        <w:tc>
          <w:tcPr>
            <w:tcW w:w="1275"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1276"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2552"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助产</w:t>
            </w:r>
          </w:p>
        </w:tc>
        <w:tc>
          <w:tcPr>
            <w:tcW w:w="1275"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131</w:t>
            </w:r>
          </w:p>
        </w:tc>
        <w:tc>
          <w:tcPr>
            <w:tcW w:w="1701"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3.01%</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restart"/>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r>
              <w:rPr>
                <w:rFonts w:hint="eastAsia" w:ascii="宋体" w:hAnsi="宋体" w:eastAsia="宋体" w:cs="宋体"/>
                <w:b/>
                <w:bCs/>
                <w:i w:val="0"/>
                <w:iCs/>
                <w:color w:val="FFFFFF" w:themeColor="background1"/>
                <w:sz w:val="20"/>
                <w:szCs w:val="20"/>
                <w14:textFill>
                  <w14:solidFill>
                    <w14:schemeClr w14:val="bg1"/>
                  </w14:solidFill>
                </w14:textFill>
              </w:rPr>
              <w:t>药学院</w:t>
            </w:r>
          </w:p>
        </w:tc>
        <w:tc>
          <w:tcPr>
            <w:tcW w:w="1275" w:type="dxa"/>
            <w:vMerge w:val="restar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ascii="宋体" w:hAnsi="宋体" w:eastAsia="宋体" w:cs="宋体"/>
                <w:color w:val="000000"/>
                <w:sz w:val="20"/>
                <w:szCs w:val="20"/>
              </w:rPr>
              <w:t>1079</w:t>
            </w:r>
          </w:p>
        </w:tc>
        <w:tc>
          <w:tcPr>
            <w:tcW w:w="1276" w:type="dxa"/>
            <w:vMerge w:val="restar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24.76%</w:t>
            </w:r>
          </w:p>
        </w:tc>
        <w:tc>
          <w:tcPr>
            <w:tcW w:w="255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生物制药技术</w:t>
            </w:r>
          </w:p>
        </w:tc>
        <w:tc>
          <w:tcPr>
            <w:tcW w:w="1275"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38</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0.87%</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continue"/>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p>
        </w:tc>
        <w:tc>
          <w:tcPr>
            <w:tcW w:w="1275"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1276"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2552"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药剂设备制造与维护</w:t>
            </w:r>
          </w:p>
        </w:tc>
        <w:tc>
          <w:tcPr>
            <w:tcW w:w="1275"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29</w:t>
            </w:r>
          </w:p>
        </w:tc>
        <w:tc>
          <w:tcPr>
            <w:tcW w:w="1701"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0.67%</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continue"/>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p>
        </w:tc>
        <w:tc>
          <w:tcPr>
            <w:tcW w:w="1275" w:type="dxa"/>
            <w:vMerge w:val="continue"/>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p>
        </w:tc>
        <w:tc>
          <w:tcPr>
            <w:tcW w:w="1276" w:type="dxa"/>
            <w:vMerge w:val="continue"/>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p>
        </w:tc>
        <w:tc>
          <w:tcPr>
            <w:tcW w:w="255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药品经营与管理</w:t>
            </w:r>
          </w:p>
        </w:tc>
        <w:tc>
          <w:tcPr>
            <w:tcW w:w="1275"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112</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2.57%</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continue"/>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p>
        </w:tc>
        <w:tc>
          <w:tcPr>
            <w:tcW w:w="1275"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1276"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2552"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药品质量检测技术</w:t>
            </w:r>
          </w:p>
        </w:tc>
        <w:tc>
          <w:tcPr>
            <w:tcW w:w="1275"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50</w:t>
            </w:r>
          </w:p>
        </w:tc>
        <w:tc>
          <w:tcPr>
            <w:tcW w:w="1701"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1.15%</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continue"/>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p>
        </w:tc>
        <w:tc>
          <w:tcPr>
            <w:tcW w:w="1275" w:type="dxa"/>
            <w:vMerge w:val="continue"/>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p>
        </w:tc>
        <w:tc>
          <w:tcPr>
            <w:tcW w:w="1276" w:type="dxa"/>
            <w:vMerge w:val="continue"/>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p>
        </w:tc>
        <w:tc>
          <w:tcPr>
            <w:tcW w:w="255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药物制剂技术</w:t>
            </w:r>
          </w:p>
        </w:tc>
        <w:tc>
          <w:tcPr>
            <w:tcW w:w="1275"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120</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2.75%</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continue"/>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p>
        </w:tc>
        <w:tc>
          <w:tcPr>
            <w:tcW w:w="1275"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1276"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2552"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药学</w:t>
            </w:r>
          </w:p>
        </w:tc>
        <w:tc>
          <w:tcPr>
            <w:tcW w:w="1275"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507</w:t>
            </w:r>
          </w:p>
        </w:tc>
        <w:tc>
          <w:tcPr>
            <w:tcW w:w="1701"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11.64%</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continue"/>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p>
        </w:tc>
        <w:tc>
          <w:tcPr>
            <w:tcW w:w="1275" w:type="dxa"/>
            <w:vMerge w:val="continue"/>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p>
        </w:tc>
        <w:tc>
          <w:tcPr>
            <w:tcW w:w="1276" w:type="dxa"/>
            <w:vMerge w:val="continue"/>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p>
        </w:tc>
        <w:tc>
          <w:tcPr>
            <w:tcW w:w="255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中药</w:t>
            </w:r>
          </w:p>
        </w:tc>
        <w:tc>
          <w:tcPr>
            <w:tcW w:w="1275"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162</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3.72%</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continue"/>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p>
        </w:tc>
        <w:tc>
          <w:tcPr>
            <w:tcW w:w="1275"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1276"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2552"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中药制药技术</w:t>
            </w:r>
          </w:p>
        </w:tc>
        <w:tc>
          <w:tcPr>
            <w:tcW w:w="1275"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61</w:t>
            </w:r>
          </w:p>
        </w:tc>
        <w:tc>
          <w:tcPr>
            <w:tcW w:w="1701"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1.40%</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restart"/>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r>
              <w:rPr>
                <w:rFonts w:hint="eastAsia" w:ascii="宋体" w:hAnsi="宋体" w:eastAsia="宋体" w:cs="宋体"/>
                <w:b/>
                <w:bCs/>
                <w:i w:val="0"/>
                <w:iCs/>
                <w:color w:val="FFFFFF" w:themeColor="background1"/>
                <w:sz w:val="20"/>
                <w:szCs w:val="20"/>
                <w14:textFill>
                  <w14:solidFill>
                    <w14:schemeClr w14:val="bg1"/>
                  </w14:solidFill>
                </w14:textFill>
              </w:rPr>
              <w:t>临床医学院</w:t>
            </w:r>
          </w:p>
        </w:tc>
        <w:tc>
          <w:tcPr>
            <w:tcW w:w="1275" w:type="dxa"/>
            <w:vMerge w:val="restar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ascii="宋体" w:hAnsi="宋体" w:eastAsia="宋体" w:cs="宋体"/>
                <w:color w:val="000000"/>
                <w:sz w:val="20"/>
                <w:szCs w:val="20"/>
              </w:rPr>
              <w:t>1030</w:t>
            </w:r>
          </w:p>
        </w:tc>
        <w:tc>
          <w:tcPr>
            <w:tcW w:w="1276" w:type="dxa"/>
            <w:vMerge w:val="restar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23.64%</w:t>
            </w:r>
          </w:p>
        </w:tc>
        <w:tc>
          <w:tcPr>
            <w:tcW w:w="255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康复治疗技术</w:t>
            </w:r>
          </w:p>
        </w:tc>
        <w:tc>
          <w:tcPr>
            <w:tcW w:w="1275"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147</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3.37%</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continue"/>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000000"/>
                <w:sz w:val="20"/>
                <w:szCs w:val="20"/>
              </w:rPr>
            </w:pPr>
          </w:p>
        </w:tc>
        <w:tc>
          <w:tcPr>
            <w:tcW w:w="1275"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1276"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2552"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临床医学</w:t>
            </w:r>
          </w:p>
        </w:tc>
        <w:tc>
          <w:tcPr>
            <w:tcW w:w="1275"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677</w:t>
            </w:r>
          </w:p>
        </w:tc>
        <w:tc>
          <w:tcPr>
            <w:tcW w:w="1701"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15.54%</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continue"/>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000000"/>
                <w:sz w:val="20"/>
                <w:szCs w:val="20"/>
              </w:rPr>
            </w:pPr>
          </w:p>
        </w:tc>
        <w:tc>
          <w:tcPr>
            <w:tcW w:w="1275" w:type="dxa"/>
            <w:vMerge w:val="continue"/>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p>
        </w:tc>
        <w:tc>
          <w:tcPr>
            <w:tcW w:w="1276" w:type="dxa"/>
            <w:vMerge w:val="continue"/>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p>
        </w:tc>
        <w:tc>
          <w:tcPr>
            <w:tcW w:w="255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医疗美容技术</w:t>
            </w:r>
          </w:p>
        </w:tc>
        <w:tc>
          <w:tcPr>
            <w:tcW w:w="1275"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98</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2.25%</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continue"/>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000000"/>
                <w:sz w:val="20"/>
                <w:szCs w:val="20"/>
              </w:rPr>
            </w:pPr>
          </w:p>
        </w:tc>
        <w:tc>
          <w:tcPr>
            <w:tcW w:w="1275"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1276"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2552"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医学影像技术</w:t>
            </w:r>
          </w:p>
        </w:tc>
        <w:tc>
          <w:tcPr>
            <w:tcW w:w="1275"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108</w:t>
            </w:r>
          </w:p>
        </w:tc>
        <w:tc>
          <w:tcPr>
            <w:tcW w:w="1701"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2.48%</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restart"/>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r>
              <w:rPr>
                <w:rFonts w:hint="eastAsia" w:ascii="宋体" w:hAnsi="宋体" w:eastAsia="宋体" w:cs="宋体"/>
                <w:b/>
                <w:bCs/>
                <w:i w:val="0"/>
                <w:iCs/>
                <w:color w:val="FFFFFF" w:themeColor="background1"/>
                <w:sz w:val="20"/>
                <w:szCs w:val="20"/>
                <w14:textFill>
                  <w14:solidFill>
                    <w14:schemeClr w14:val="bg1"/>
                  </w14:solidFill>
                </w14:textFill>
              </w:rPr>
              <w:t>医学技术学院</w:t>
            </w:r>
          </w:p>
        </w:tc>
        <w:tc>
          <w:tcPr>
            <w:tcW w:w="1275" w:type="dxa"/>
            <w:vMerge w:val="restar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ascii="宋体" w:hAnsi="宋体" w:eastAsia="宋体" w:cs="宋体"/>
                <w:color w:val="000000"/>
                <w:sz w:val="20"/>
                <w:szCs w:val="20"/>
              </w:rPr>
              <w:t>528</w:t>
            </w:r>
          </w:p>
        </w:tc>
        <w:tc>
          <w:tcPr>
            <w:tcW w:w="1276" w:type="dxa"/>
            <w:vMerge w:val="restar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12.12%</w:t>
            </w:r>
          </w:p>
        </w:tc>
        <w:tc>
          <w:tcPr>
            <w:tcW w:w="255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食品营养与检测</w:t>
            </w:r>
          </w:p>
        </w:tc>
        <w:tc>
          <w:tcPr>
            <w:tcW w:w="1275"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39</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0.90%</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continue"/>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p>
        </w:tc>
        <w:tc>
          <w:tcPr>
            <w:tcW w:w="1275"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1276"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2552"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卫生检验与检疫技术</w:t>
            </w:r>
          </w:p>
        </w:tc>
        <w:tc>
          <w:tcPr>
            <w:tcW w:w="1275"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55</w:t>
            </w:r>
          </w:p>
        </w:tc>
        <w:tc>
          <w:tcPr>
            <w:tcW w:w="1701"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1.26%</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continue"/>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p>
        </w:tc>
        <w:tc>
          <w:tcPr>
            <w:tcW w:w="1275" w:type="dxa"/>
            <w:vMerge w:val="continue"/>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p>
        </w:tc>
        <w:tc>
          <w:tcPr>
            <w:tcW w:w="1276" w:type="dxa"/>
            <w:vMerge w:val="continue"/>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p>
        </w:tc>
        <w:tc>
          <w:tcPr>
            <w:tcW w:w="255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眼视光技术</w:t>
            </w:r>
          </w:p>
        </w:tc>
        <w:tc>
          <w:tcPr>
            <w:tcW w:w="1275"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56</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1.29%</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continue"/>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p>
        </w:tc>
        <w:tc>
          <w:tcPr>
            <w:tcW w:w="1275"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1276"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2552"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医学检验技术</w:t>
            </w:r>
          </w:p>
        </w:tc>
        <w:tc>
          <w:tcPr>
            <w:tcW w:w="1275"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378</w:t>
            </w:r>
          </w:p>
        </w:tc>
        <w:tc>
          <w:tcPr>
            <w:tcW w:w="1701"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8.68%</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restart"/>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r>
              <w:rPr>
                <w:rFonts w:hint="eastAsia" w:ascii="宋体" w:hAnsi="宋体" w:eastAsia="宋体" w:cs="宋体"/>
                <w:b/>
                <w:bCs/>
                <w:i w:val="0"/>
                <w:iCs/>
                <w:color w:val="FFFFFF" w:themeColor="background1"/>
                <w:sz w:val="20"/>
                <w:szCs w:val="20"/>
                <w14:textFill>
                  <w14:solidFill>
                    <w14:schemeClr w14:val="bg1"/>
                  </w14:solidFill>
                </w14:textFill>
              </w:rPr>
              <w:t>中医学院</w:t>
            </w:r>
          </w:p>
        </w:tc>
        <w:tc>
          <w:tcPr>
            <w:tcW w:w="1275" w:type="dxa"/>
            <w:vMerge w:val="restar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ascii="宋体" w:hAnsi="宋体" w:eastAsia="宋体" w:cs="宋体"/>
                <w:color w:val="000000"/>
                <w:sz w:val="20"/>
                <w:szCs w:val="20"/>
              </w:rPr>
              <w:t>190</w:t>
            </w:r>
          </w:p>
        </w:tc>
        <w:tc>
          <w:tcPr>
            <w:tcW w:w="1276" w:type="dxa"/>
            <w:vMerge w:val="restar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4.36%</w:t>
            </w:r>
          </w:p>
        </w:tc>
        <w:tc>
          <w:tcPr>
            <w:tcW w:w="255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针灸推拿</w:t>
            </w:r>
          </w:p>
        </w:tc>
        <w:tc>
          <w:tcPr>
            <w:tcW w:w="1275"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88</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2.02%</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continue"/>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p>
        </w:tc>
        <w:tc>
          <w:tcPr>
            <w:tcW w:w="1275"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1276"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2552"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中医学</w:t>
            </w:r>
          </w:p>
        </w:tc>
        <w:tc>
          <w:tcPr>
            <w:tcW w:w="1275"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102</w:t>
            </w:r>
          </w:p>
        </w:tc>
        <w:tc>
          <w:tcPr>
            <w:tcW w:w="1701"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2.34%</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restart"/>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FFFFFF" w:themeColor="background1"/>
                <w:sz w:val="20"/>
                <w:szCs w:val="20"/>
                <w14:textFill>
                  <w14:solidFill>
                    <w14:schemeClr w14:val="bg1"/>
                  </w14:solidFill>
                </w14:textFill>
              </w:rPr>
            </w:pPr>
            <w:r>
              <w:rPr>
                <w:rFonts w:hint="eastAsia" w:ascii="宋体" w:hAnsi="宋体" w:eastAsia="宋体" w:cs="宋体"/>
                <w:b/>
                <w:bCs/>
                <w:i w:val="0"/>
                <w:iCs/>
                <w:color w:val="FFFFFF" w:themeColor="background1"/>
                <w:sz w:val="20"/>
                <w:szCs w:val="20"/>
                <w14:textFill>
                  <w14:solidFill>
                    <w14:schemeClr w14:val="bg1"/>
                  </w14:solidFill>
                </w14:textFill>
              </w:rPr>
              <w:t>基础部</w:t>
            </w:r>
          </w:p>
        </w:tc>
        <w:tc>
          <w:tcPr>
            <w:tcW w:w="1275" w:type="dxa"/>
            <w:vMerge w:val="restar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ascii="宋体" w:hAnsi="宋体" w:eastAsia="宋体" w:cs="宋体"/>
                <w:color w:val="000000"/>
                <w:sz w:val="20"/>
                <w:szCs w:val="20"/>
              </w:rPr>
              <w:t>79</w:t>
            </w:r>
          </w:p>
        </w:tc>
        <w:tc>
          <w:tcPr>
            <w:tcW w:w="1276" w:type="dxa"/>
            <w:vMerge w:val="restar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1.81%</w:t>
            </w:r>
          </w:p>
        </w:tc>
        <w:tc>
          <w:tcPr>
            <w:tcW w:w="255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医学影像设备管理与维护</w:t>
            </w:r>
          </w:p>
        </w:tc>
        <w:tc>
          <w:tcPr>
            <w:tcW w:w="1275"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40</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0.92%</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68" w:hRule="atLeast"/>
        </w:trPr>
        <w:tc>
          <w:tcPr>
            <w:tcW w:w="1560" w:type="dxa"/>
            <w:vMerge w:val="continue"/>
            <w:tcBorders>
              <w:left w:val="single" w:color="FFFFFF" w:themeColor="background1" w:sz="8" w:space="0"/>
              <w:right w:val="single" w:color="FFFFFF" w:themeColor="background1" w:sz="24" w:space="0"/>
              <w:insideH w:val="nil"/>
              <w:insideV w:val="single" w:sz="24" w:space="0"/>
            </w:tcBorders>
            <w:shd w:val="clear" w:color="auto" w:fill="72A376" w:themeFill="accent1"/>
          </w:tcPr>
          <w:p>
            <w:pPr>
              <w:spacing w:after="0" w:line="240" w:lineRule="auto"/>
              <w:jc w:val="center"/>
              <w:rPr>
                <w:rFonts w:ascii="宋体" w:hAnsi="宋体" w:eastAsia="宋体" w:cs="宋体"/>
                <w:b/>
                <w:bCs/>
                <w:i w:val="0"/>
                <w:iCs/>
                <w:color w:val="000000"/>
                <w:sz w:val="20"/>
                <w:szCs w:val="20"/>
              </w:rPr>
            </w:pPr>
          </w:p>
        </w:tc>
        <w:tc>
          <w:tcPr>
            <w:tcW w:w="1275"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1276" w:type="dxa"/>
            <w:vMerge w:val="continue"/>
            <w:shd w:val="clear" w:color="auto" w:fill="DCE8DD" w:themeFill="accent1" w:themeFillTint="3F"/>
          </w:tcPr>
          <w:p>
            <w:pPr>
              <w:spacing w:after="0" w:line="240" w:lineRule="auto"/>
              <w:jc w:val="center"/>
              <w:rPr>
                <w:rFonts w:ascii="宋体" w:hAnsi="宋体" w:eastAsia="宋体" w:cs="宋体"/>
                <w:color w:val="000000"/>
                <w:sz w:val="20"/>
                <w:szCs w:val="20"/>
              </w:rPr>
            </w:pPr>
          </w:p>
        </w:tc>
        <w:tc>
          <w:tcPr>
            <w:tcW w:w="2552"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医用电子仪器与维护</w:t>
            </w:r>
          </w:p>
        </w:tc>
        <w:tc>
          <w:tcPr>
            <w:tcW w:w="1275"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39</w:t>
            </w:r>
          </w:p>
        </w:tc>
        <w:tc>
          <w:tcPr>
            <w:tcW w:w="1701" w:type="dxa"/>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0.90%</w:t>
            </w:r>
          </w:p>
        </w:tc>
      </w:tr>
    </w:tbl>
    <w:p>
      <w:pPr>
        <w:spacing w:before="156" w:beforeLines="50" w:line="500" w:lineRule="exact"/>
        <w:rPr>
          <w:rFonts w:ascii="宋体" w:hAnsi="宋体" w:eastAsia="宋体"/>
          <w:sz w:val="20"/>
          <w:szCs w:val="20"/>
        </w:rPr>
      </w:pPr>
      <w:r>
        <w:rPr>
          <w:rFonts w:hint="eastAsia" w:ascii="宋体" w:hAnsi="宋体" w:eastAsia="宋体"/>
          <w:sz w:val="20"/>
          <w:szCs w:val="20"/>
        </w:rPr>
        <w:t>数据来源：重庆市大学中专毕业生就业办公信息系统</w:t>
      </w:r>
    </w:p>
    <w:p>
      <w:pPr>
        <w:spacing w:before="156" w:beforeLines="50" w:line="500" w:lineRule="exact"/>
        <w:ind w:firstLine="551" w:firstLineChars="196"/>
        <w:rPr>
          <w:rFonts w:ascii="宋体" w:hAnsi="宋体" w:eastAsia="宋体"/>
          <w:sz w:val="28"/>
          <w:szCs w:val="28"/>
        </w:rPr>
      </w:pPr>
      <w:r>
        <w:rPr>
          <w:rFonts w:hint="eastAsia" w:ascii="宋体" w:hAnsi="宋体" w:eastAsia="宋体"/>
          <w:b/>
          <w:sz w:val="28"/>
          <w:szCs w:val="28"/>
        </w:rPr>
        <w:t>性别结构：</w:t>
      </w:r>
      <w:r>
        <w:rPr>
          <w:rFonts w:hint="eastAsia" w:ascii="宋体" w:hAnsi="宋体" w:eastAsia="宋体"/>
          <w:sz w:val="28"/>
          <w:szCs w:val="28"/>
        </w:rPr>
        <w:t>2018届毕业生中，男生765人，占总毕业生人数的17.56%，女生3592人，占总毕业生人数的82.44%，男女性别比例为0.21:1，女生比例偏高。</w:t>
      </w:r>
    </w:p>
    <w:p>
      <w:pPr>
        <w:spacing w:before="156" w:beforeLines="50" w:line="500" w:lineRule="exact"/>
        <w:jc w:val="center"/>
        <w:rPr>
          <w:rFonts w:ascii="黑体" w:hAnsi="黑体" w:eastAsia="黑体"/>
          <w:sz w:val="24"/>
          <w:szCs w:val="24"/>
        </w:rPr>
      </w:pPr>
      <w:r>
        <w:rPr>
          <w:rFonts w:hint="eastAsia" w:ascii="黑体" w:hAnsi="黑体" w:eastAsia="黑体"/>
        </w:rPr>
        <w:t>表</w:t>
      </w:r>
      <w:r>
        <w:rPr>
          <w:rFonts w:ascii="黑体" w:hAnsi="黑体" w:eastAsia="黑体" w:cs="Times New Roman"/>
          <w:bCs/>
        </w:rPr>
        <w:t>1-2 201</w:t>
      </w:r>
      <w:r>
        <w:rPr>
          <w:rFonts w:hint="eastAsia" w:ascii="黑体" w:hAnsi="黑体" w:eastAsia="黑体" w:cs="Times New Roman"/>
          <w:bCs/>
        </w:rPr>
        <w:t>8</w:t>
      </w:r>
      <w:r>
        <w:rPr>
          <w:rFonts w:hint="eastAsia" w:ascii="黑体" w:hAnsi="黑体" w:eastAsia="黑体"/>
        </w:rPr>
        <w:t>届毕业生性别结构</w:t>
      </w:r>
    </w:p>
    <w:tbl>
      <w:tblPr>
        <w:tblStyle w:val="41"/>
        <w:tblW w:w="9974" w:type="dxa"/>
        <w:tblInd w:w="0" w:type="dxa"/>
        <w:tblBorders>
          <w:top w:val="single" w:color="95BA98" w:themeColor="accent1" w:themeTint="BF" w:sz="8" w:space="0"/>
          <w:left w:val="single" w:color="95BA98" w:themeColor="accent1" w:themeTint="BF" w:sz="8" w:space="0"/>
          <w:bottom w:val="single" w:color="95BA98" w:themeColor="accent1" w:themeTint="BF" w:sz="8" w:space="0"/>
          <w:right w:val="single" w:color="95BA98" w:themeColor="accent1" w:themeTint="BF" w:sz="8" w:space="0"/>
          <w:insideH w:val="single" w:color="95BA98" w:themeColor="accent1" w:themeTint="BF" w:sz="8" w:space="0"/>
          <w:insideV w:val="none" w:color="auto" w:sz="0" w:space="0"/>
        </w:tblBorders>
        <w:tblLayout w:type="fixed"/>
        <w:tblCellMar>
          <w:top w:w="0" w:type="dxa"/>
          <w:left w:w="108" w:type="dxa"/>
          <w:bottom w:w="0" w:type="dxa"/>
          <w:right w:w="108" w:type="dxa"/>
        </w:tblCellMar>
      </w:tblPr>
      <w:tblGrid>
        <w:gridCol w:w="2293"/>
        <w:gridCol w:w="3872"/>
        <w:gridCol w:w="3809"/>
      </w:tblGrid>
      <w:tr>
        <w:tblPrEx>
          <w:tblBorders>
            <w:top w:val="single" w:color="95BA98" w:themeColor="accent1" w:themeTint="BF" w:sz="8" w:space="0"/>
            <w:left w:val="single" w:color="95BA98" w:themeColor="accent1" w:themeTint="BF" w:sz="8" w:space="0"/>
            <w:bottom w:val="single" w:color="95BA98" w:themeColor="accent1" w:themeTint="BF" w:sz="8" w:space="0"/>
            <w:right w:val="single" w:color="95BA98" w:themeColor="accent1" w:themeTint="BF" w:sz="8" w:space="0"/>
            <w:insideH w:val="single" w:color="95BA98" w:themeColor="accent1" w:themeTint="BF" w:sz="8" w:space="0"/>
            <w:insideV w:val="none" w:color="auto" w:sz="0" w:space="0"/>
          </w:tblBorders>
          <w:tblLayout w:type="fixed"/>
          <w:tblCellMar>
            <w:top w:w="0" w:type="dxa"/>
            <w:left w:w="108" w:type="dxa"/>
            <w:bottom w:w="0" w:type="dxa"/>
            <w:right w:w="108" w:type="dxa"/>
          </w:tblCellMar>
        </w:tblPrEx>
        <w:trPr>
          <w:trHeight w:val="506" w:hRule="atLeast"/>
        </w:trPr>
        <w:tc>
          <w:tcPr>
            <w:tcW w:w="2293" w:type="dxa"/>
            <w:tcBorders>
              <w:top w:val="single" w:color="95BA98" w:themeColor="accent1" w:themeTint="BF" w:sz="8" w:space="0"/>
              <w:left w:val="single" w:color="95BA98" w:themeColor="accent1" w:themeTint="BF" w:sz="8" w:space="0"/>
              <w:bottom w:val="single" w:color="95BA98" w:themeColor="accent1" w:themeTint="BF" w:sz="8" w:space="0"/>
              <w:right w:val="nil"/>
              <w:insideH w:val="single" w:sz="8" w:space="0"/>
              <w:insideV w:val="nil"/>
            </w:tcBorders>
            <w:shd w:val="clear" w:color="auto" w:fill="72A376" w:themeFill="accent1"/>
            <w:vAlign w:val="center"/>
          </w:tcPr>
          <w:p>
            <w:pPr>
              <w:spacing w:before="0" w:after="0" w:line="240" w:lineRule="auto"/>
              <w:jc w:val="center"/>
              <w:rPr>
                <w:rFonts w:ascii="宋体" w:hAnsi="宋体" w:eastAsia="宋体" w:cs="宋体"/>
                <w:b/>
                <w:bCs w:val="0"/>
                <w:color w:val="FFFFFF" w:themeColor="background1"/>
                <w:sz w:val="24"/>
                <w:szCs w:val="24"/>
                <w14:textFill>
                  <w14:solidFill>
                    <w14:schemeClr w14:val="bg1"/>
                  </w14:solidFill>
                </w14:textFill>
              </w:rPr>
            </w:pPr>
            <w:r>
              <w:rPr>
                <w:rFonts w:hint="eastAsia" w:ascii="宋体" w:hAnsi="宋体" w:eastAsia="宋体" w:cs="宋体"/>
                <w:b/>
                <w:bCs w:val="0"/>
                <w:color w:val="FFFFFF" w:themeColor="background1"/>
                <w:sz w:val="24"/>
                <w:szCs w:val="24"/>
                <w14:textFill>
                  <w14:solidFill>
                    <w14:schemeClr w14:val="bg1"/>
                  </w14:solidFill>
                </w14:textFill>
              </w:rPr>
              <w:t>性别</w:t>
            </w:r>
          </w:p>
        </w:tc>
        <w:tc>
          <w:tcPr>
            <w:tcW w:w="3872" w:type="dxa"/>
            <w:tcBorders>
              <w:top w:val="single" w:color="95BA98" w:themeColor="accent1" w:themeTint="BF" w:sz="8" w:space="0"/>
              <w:bottom w:val="single" w:color="95BA98" w:themeColor="accent1" w:themeTint="BF" w:sz="8" w:space="0"/>
              <w:right w:val="nil"/>
              <w:insideH w:val="single" w:sz="8" w:space="0"/>
              <w:insideV w:val="nil"/>
            </w:tcBorders>
            <w:shd w:val="clear" w:color="auto" w:fill="72A376" w:themeFill="accent1"/>
            <w:vAlign w:val="center"/>
          </w:tcPr>
          <w:p>
            <w:pPr>
              <w:spacing w:before="0" w:after="0" w:line="240" w:lineRule="auto"/>
              <w:jc w:val="center"/>
              <w:rPr>
                <w:rFonts w:ascii="宋体" w:hAnsi="宋体" w:eastAsia="宋体" w:cs="宋体"/>
                <w:b/>
                <w:bCs w:val="0"/>
                <w:color w:val="FFFFFF" w:themeColor="background1"/>
                <w:sz w:val="24"/>
                <w:szCs w:val="24"/>
                <w14:textFill>
                  <w14:solidFill>
                    <w14:schemeClr w14:val="bg1"/>
                  </w14:solidFill>
                </w14:textFill>
              </w:rPr>
            </w:pPr>
            <w:r>
              <w:rPr>
                <w:rFonts w:hint="eastAsia" w:ascii="宋体" w:hAnsi="宋体" w:eastAsia="宋体" w:cs="宋体"/>
                <w:b/>
                <w:bCs w:val="0"/>
                <w:color w:val="FFFFFF" w:themeColor="background1"/>
                <w:sz w:val="24"/>
                <w:szCs w:val="24"/>
                <w14:textFill>
                  <w14:solidFill>
                    <w14:schemeClr w14:val="bg1"/>
                  </w14:solidFill>
                </w14:textFill>
              </w:rPr>
              <w:t>人数</w:t>
            </w:r>
          </w:p>
        </w:tc>
        <w:tc>
          <w:tcPr>
            <w:tcW w:w="3809" w:type="dxa"/>
            <w:tcBorders>
              <w:top w:val="single" w:color="95BA98" w:themeColor="accent1" w:themeTint="BF" w:sz="8" w:space="0"/>
              <w:bottom w:val="single" w:color="95BA98" w:themeColor="accent1" w:themeTint="BF" w:sz="8" w:space="0"/>
              <w:right w:val="single" w:color="95BA98" w:themeColor="accent1" w:themeTint="BF" w:sz="8" w:space="0"/>
              <w:insideH w:val="single" w:sz="8" w:space="0"/>
              <w:insideV w:val="nil"/>
            </w:tcBorders>
            <w:shd w:val="clear" w:color="auto" w:fill="72A376" w:themeFill="accent1"/>
            <w:vAlign w:val="center"/>
          </w:tcPr>
          <w:p>
            <w:pPr>
              <w:spacing w:before="0" w:after="0" w:line="240" w:lineRule="auto"/>
              <w:jc w:val="center"/>
              <w:rPr>
                <w:rFonts w:ascii="宋体" w:hAnsi="宋体" w:eastAsia="宋体" w:cs="宋体"/>
                <w:b/>
                <w:bCs w:val="0"/>
                <w:color w:val="FFFFFF" w:themeColor="background1"/>
                <w:sz w:val="24"/>
                <w:szCs w:val="24"/>
                <w14:textFill>
                  <w14:solidFill>
                    <w14:schemeClr w14:val="bg1"/>
                  </w14:solidFill>
                </w14:textFill>
              </w:rPr>
            </w:pPr>
            <w:r>
              <w:rPr>
                <w:rFonts w:hint="eastAsia" w:ascii="宋体" w:hAnsi="宋体" w:eastAsia="宋体" w:cs="宋体"/>
                <w:b/>
                <w:bCs w:val="0"/>
                <w:color w:val="FFFFFF" w:themeColor="background1"/>
                <w:sz w:val="24"/>
                <w:szCs w:val="24"/>
                <w14:textFill>
                  <w14:solidFill>
                    <w14:schemeClr w14:val="bg1"/>
                  </w14:solidFill>
                </w14:textFill>
              </w:rPr>
              <w:t>占比</w:t>
            </w:r>
          </w:p>
        </w:tc>
      </w:tr>
      <w:tr>
        <w:tblPrEx>
          <w:tblBorders>
            <w:top w:val="single" w:color="95BA98" w:themeColor="accent1" w:themeTint="BF" w:sz="8" w:space="0"/>
            <w:left w:val="single" w:color="95BA98" w:themeColor="accent1" w:themeTint="BF" w:sz="8" w:space="0"/>
            <w:bottom w:val="single" w:color="95BA98" w:themeColor="accent1" w:themeTint="BF" w:sz="8" w:space="0"/>
            <w:right w:val="single" w:color="95BA98" w:themeColor="accent1" w:themeTint="BF" w:sz="8" w:space="0"/>
            <w:insideH w:val="single" w:color="95BA98" w:themeColor="accent1" w:themeTint="BF" w:sz="8" w:space="0"/>
            <w:insideV w:val="none" w:color="auto" w:sz="0" w:space="0"/>
          </w:tblBorders>
          <w:tblLayout w:type="fixed"/>
          <w:tblCellMar>
            <w:top w:w="0" w:type="dxa"/>
            <w:left w:w="108" w:type="dxa"/>
            <w:bottom w:w="0" w:type="dxa"/>
            <w:right w:w="108" w:type="dxa"/>
          </w:tblCellMar>
        </w:tblPrEx>
        <w:trPr>
          <w:trHeight w:val="506" w:hRule="atLeast"/>
        </w:trPr>
        <w:tc>
          <w:tcPr>
            <w:tcW w:w="2293" w:type="dxa"/>
            <w:tcBorders>
              <w:right w:val="nil"/>
              <w:insideV w:val="nil"/>
            </w:tcBorders>
            <w:shd w:val="clear" w:color="auto" w:fill="DCE8DD" w:themeFill="accent1" w:themeFillTint="3F"/>
            <w:vAlign w:val="center"/>
          </w:tcPr>
          <w:p>
            <w:pPr>
              <w:spacing w:after="0" w:line="240" w:lineRule="auto"/>
              <w:jc w:val="center"/>
              <w:rPr>
                <w:rFonts w:ascii="宋体" w:hAnsi="宋体" w:eastAsia="宋体" w:cs="宋体"/>
                <w:b/>
                <w:bCs/>
                <w:color w:val="000000" w:themeColor="text1"/>
                <w:sz w:val="20"/>
                <w:szCs w:val="20"/>
                <w14:textFill>
                  <w14:solidFill>
                    <w14:schemeClr w14:val="tx1"/>
                  </w14:solidFill>
                </w14:textFill>
              </w:rPr>
            </w:pPr>
            <w:r>
              <w:rPr>
                <w:rFonts w:hint="eastAsia" w:ascii="宋体" w:hAnsi="宋体" w:eastAsia="宋体" w:cs="宋体"/>
                <w:b/>
                <w:bCs/>
                <w:color w:val="000000" w:themeColor="text1"/>
                <w:sz w:val="20"/>
                <w:szCs w:val="20"/>
                <w14:textFill>
                  <w14:solidFill>
                    <w14:schemeClr w14:val="tx1"/>
                  </w14:solidFill>
                </w14:textFill>
              </w:rPr>
              <w:t>男性</w:t>
            </w:r>
          </w:p>
        </w:tc>
        <w:tc>
          <w:tcPr>
            <w:tcW w:w="3872" w:type="dxa"/>
            <w:tcBorders>
              <w:right w:val="nil"/>
              <w:insideV w:val="nil"/>
            </w:tcBorders>
            <w:shd w:val="clear" w:color="auto" w:fill="DCE8DD" w:themeFill="accent1" w:themeFillTint="3F"/>
            <w:vAlign w:val="center"/>
          </w:tcPr>
          <w:p>
            <w:pPr>
              <w:spacing w:after="0" w:line="240" w:lineRule="auto"/>
              <w:jc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765</w:t>
            </w:r>
          </w:p>
        </w:tc>
        <w:tc>
          <w:tcPr>
            <w:tcW w:w="3809" w:type="dxa"/>
            <w:tcBorders>
              <w:insideV w:val="nil"/>
            </w:tcBorders>
            <w:shd w:val="clear" w:color="auto" w:fill="DCE8DD" w:themeFill="accent1" w:themeFillTint="3F"/>
            <w:vAlign w:val="center"/>
          </w:tcPr>
          <w:p>
            <w:pPr>
              <w:spacing w:after="0" w:line="240" w:lineRule="auto"/>
              <w:jc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17.56%</w:t>
            </w:r>
          </w:p>
        </w:tc>
      </w:tr>
      <w:tr>
        <w:tblPrEx>
          <w:tblBorders>
            <w:top w:val="single" w:color="95BA98" w:themeColor="accent1" w:themeTint="BF" w:sz="8" w:space="0"/>
            <w:left w:val="single" w:color="95BA98" w:themeColor="accent1" w:themeTint="BF" w:sz="8" w:space="0"/>
            <w:bottom w:val="single" w:color="95BA98" w:themeColor="accent1" w:themeTint="BF" w:sz="8" w:space="0"/>
            <w:right w:val="single" w:color="95BA98" w:themeColor="accent1" w:themeTint="BF" w:sz="8" w:space="0"/>
            <w:insideH w:val="single" w:color="95BA98" w:themeColor="accent1" w:themeTint="BF" w:sz="8" w:space="0"/>
            <w:insideV w:val="none" w:color="auto" w:sz="0" w:space="0"/>
          </w:tblBorders>
          <w:tblLayout w:type="fixed"/>
          <w:tblCellMar>
            <w:top w:w="0" w:type="dxa"/>
            <w:left w:w="108" w:type="dxa"/>
            <w:bottom w:w="0" w:type="dxa"/>
            <w:right w:w="108" w:type="dxa"/>
          </w:tblCellMar>
        </w:tblPrEx>
        <w:trPr>
          <w:trHeight w:val="506" w:hRule="atLeast"/>
        </w:trPr>
        <w:tc>
          <w:tcPr>
            <w:tcW w:w="2293" w:type="dxa"/>
            <w:tcBorders>
              <w:right w:val="nil"/>
              <w:insideV w:val="nil"/>
            </w:tcBorders>
            <w:vAlign w:val="center"/>
          </w:tcPr>
          <w:p>
            <w:pPr>
              <w:spacing w:after="0" w:line="240" w:lineRule="auto"/>
              <w:jc w:val="center"/>
              <w:rPr>
                <w:rFonts w:ascii="宋体" w:hAnsi="宋体" w:eastAsia="宋体" w:cs="宋体"/>
                <w:b/>
                <w:bCs/>
                <w:color w:val="000000" w:themeColor="text1"/>
                <w:sz w:val="20"/>
                <w:szCs w:val="20"/>
                <w14:textFill>
                  <w14:solidFill>
                    <w14:schemeClr w14:val="tx1"/>
                  </w14:solidFill>
                </w14:textFill>
              </w:rPr>
            </w:pPr>
            <w:r>
              <w:rPr>
                <w:rFonts w:hint="eastAsia" w:ascii="宋体" w:hAnsi="宋体" w:eastAsia="宋体" w:cs="宋体"/>
                <w:b/>
                <w:bCs/>
                <w:color w:val="000000" w:themeColor="text1"/>
                <w:sz w:val="20"/>
                <w:szCs w:val="20"/>
                <w14:textFill>
                  <w14:solidFill>
                    <w14:schemeClr w14:val="tx1"/>
                  </w14:solidFill>
                </w14:textFill>
              </w:rPr>
              <w:t>女性</w:t>
            </w:r>
          </w:p>
        </w:tc>
        <w:tc>
          <w:tcPr>
            <w:tcW w:w="3872" w:type="dxa"/>
            <w:tcBorders>
              <w:right w:val="nil"/>
              <w:insideV w:val="nil"/>
            </w:tcBorders>
            <w:vAlign w:val="center"/>
          </w:tcPr>
          <w:p>
            <w:pPr>
              <w:spacing w:after="0" w:line="240" w:lineRule="auto"/>
              <w:jc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3592</w:t>
            </w:r>
          </w:p>
        </w:tc>
        <w:tc>
          <w:tcPr>
            <w:tcW w:w="3809" w:type="dxa"/>
            <w:tcBorders>
              <w:insideV w:val="nil"/>
            </w:tcBorders>
            <w:vAlign w:val="center"/>
          </w:tcPr>
          <w:p>
            <w:pPr>
              <w:spacing w:after="0" w:line="240" w:lineRule="auto"/>
              <w:jc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82.44%</w:t>
            </w:r>
          </w:p>
        </w:tc>
      </w:tr>
      <w:tr>
        <w:tblPrEx>
          <w:tblBorders>
            <w:top w:val="single" w:color="95BA98" w:themeColor="accent1" w:themeTint="BF" w:sz="8" w:space="0"/>
            <w:left w:val="single" w:color="95BA98" w:themeColor="accent1" w:themeTint="BF" w:sz="8" w:space="0"/>
            <w:bottom w:val="single" w:color="95BA98" w:themeColor="accent1" w:themeTint="BF" w:sz="8" w:space="0"/>
            <w:right w:val="single" w:color="95BA98" w:themeColor="accent1" w:themeTint="BF" w:sz="8" w:space="0"/>
            <w:insideH w:val="single" w:color="95BA98" w:themeColor="accent1" w:themeTint="BF" w:sz="8" w:space="0"/>
            <w:insideV w:val="none" w:color="auto" w:sz="0" w:space="0"/>
          </w:tblBorders>
          <w:tblLayout w:type="fixed"/>
          <w:tblCellMar>
            <w:top w:w="0" w:type="dxa"/>
            <w:left w:w="108" w:type="dxa"/>
            <w:bottom w:w="0" w:type="dxa"/>
            <w:right w:w="108" w:type="dxa"/>
          </w:tblCellMar>
        </w:tblPrEx>
        <w:trPr>
          <w:trHeight w:val="506" w:hRule="atLeast"/>
        </w:trPr>
        <w:tc>
          <w:tcPr>
            <w:tcW w:w="2293" w:type="dxa"/>
            <w:tcBorders>
              <w:right w:val="nil"/>
              <w:insideV w:val="nil"/>
            </w:tcBorders>
            <w:shd w:val="clear" w:color="auto" w:fill="DCE8DD" w:themeFill="accent1" w:themeFillTint="3F"/>
            <w:vAlign w:val="center"/>
          </w:tcPr>
          <w:p>
            <w:pPr>
              <w:spacing w:after="0" w:line="240" w:lineRule="auto"/>
              <w:jc w:val="center"/>
              <w:rPr>
                <w:rFonts w:ascii="宋体" w:hAnsi="宋体" w:eastAsia="宋体" w:cs="宋体"/>
                <w:b/>
                <w:bCs/>
                <w:color w:val="000000" w:themeColor="text1"/>
                <w:sz w:val="20"/>
                <w:szCs w:val="20"/>
                <w14:textFill>
                  <w14:solidFill>
                    <w14:schemeClr w14:val="tx1"/>
                  </w14:solidFill>
                </w14:textFill>
              </w:rPr>
            </w:pPr>
            <w:r>
              <w:rPr>
                <w:rFonts w:hint="eastAsia" w:ascii="宋体" w:hAnsi="宋体" w:eastAsia="宋体" w:cs="宋体"/>
                <w:b/>
                <w:bCs/>
                <w:color w:val="000000" w:themeColor="text1"/>
                <w:sz w:val="20"/>
                <w:szCs w:val="20"/>
                <w14:textFill>
                  <w14:solidFill>
                    <w14:schemeClr w14:val="tx1"/>
                  </w14:solidFill>
                </w14:textFill>
              </w:rPr>
              <w:t>合计</w:t>
            </w:r>
          </w:p>
        </w:tc>
        <w:tc>
          <w:tcPr>
            <w:tcW w:w="3872" w:type="dxa"/>
            <w:tcBorders>
              <w:right w:val="nil"/>
              <w:insideV w:val="nil"/>
            </w:tcBorders>
            <w:shd w:val="clear" w:color="auto" w:fill="DCE8DD" w:themeFill="accent1" w:themeFillTint="3F"/>
            <w:vAlign w:val="center"/>
          </w:tcPr>
          <w:p>
            <w:pPr>
              <w:spacing w:after="0" w:line="240" w:lineRule="auto"/>
              <w:jc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4357</w:t>
            </w:r>
          </w:p>
        </w:tc>
        <w:tc>
          <w:tcPr>
            <w:tcW w:w="3809" w:type="dxa"/>
            <w:tcBorders>
              <w:insideV w:val="nil"/>
            </w:tcBorders>
            <w:shd w:val="clear" w:color="auto" w:fill="DCE8DD" w:themeFill="accent1" w:themeFillTint="3F"/>
            <w:vAlign w:val="center"/>
          </w:tcPr>
          <w:p>
            <w:pPr>
              <w:spacing w:after="0" w:line="240" w:lineRule="auto"/>
              <w:jc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100.00%</w:t>
            </w:r>
          </w:p>
        </w:tc>
      </w:tr>
    </w:tbl>
    <w:p>
      <w:pPr>
        <w:spacing w:before="156" w:beforeLines="50" w:line="500" w:lineRule="exact"/>
        <w:rPr>
          <w:rFonts w:ascii="宋体" w:hAnsi="宋体" w:eastAsia="宋体"/>
          <w:sz w:val="20"/>
          <w:szCs w:val="20"/>
        </w:rPr>
      </w:pPr>
      <w:bookmarkStart w:id="6" w:name="_Toc533510626"/>
      <w:r>
        <w:rPr>
          <w:rFonts w:hint="eastAsia" w:ascii="宋体" w:hAnsi="宋体" w:eastAsia="宋体"/>
          <w:sz w:val="20"/>
          <w:szCs w:val="20"/>
        </w:rPr>
        <w:t>数据来源：重庆市大学中专毕业生就业办公信息系统</w:t>
      </w:r>
    </w:p>
    <w:p>
      <w:pPr>
        <w:pStyle w:val="3"/>
      </w:pPr>
      <w:r>
        <w:rPr>
          <w:rFonts w:hint="eastAsia"/>
        </w:rPr>
        <w:t>二、就业率及毕业去向</w:t>
      </w:r>
      <w:bookmarkEnd w:id="6"/>
    </w:p>
    <w:p>
      <w:pPr>
        <w:spacing w:line="360" w:lineRule="auto"/>
        <w:ind w:firstLine="560" w:firstLineChars="200"/>
        <w:rPr>
          <w:sz w:val="28"/>
          <w:szCs w:val="28"/>
        </w:rPr>
      </w:pPr>
      <w:r>
        <w:rPr>
          <w:rFonts w:hint="eastAsia" w:ascii="宋体" w:hAnsi="宋体" w:eastAsia="宋体"/>
          <w:sz w:val="28"/>
          <w:szCs w:val="28"/>
        </w:rPr>
        <w:t>就业率是反映大学生就业情况和社会对学校毕业生需求程度的重要指标和参考依据，根据教育部发布的《教育部办公厅关于进一步加强和完善高校毕业生就业状况统计报告工作的通知》，高校毕业生的就业率的计算公式为：毕业生就业率=（已就业毕业生人数÷毕业生总人数）×100.00%。</w:t>
      </w:r>
    </w:p>
    <w:p>
      <w:pPr>
        <w:pStyle w:val="4"/>
      </w:pPr>
      <w:bookmarkStart w:id="7" w:name="_Toc533510627"/>
      <w:r>
        <w:rPr>
          <w:rFonts w:hint="eastAsia"/>
        </w:rPr>
        <w:t>（一）总体就业率及毕业去向</w:t>
      </w:r>
      <w:bookmarkEnd w:id="7"/>
    </w:p>
    <w:p>
      <w:pPr>
        <w:spacing w:before="156" w:beforeLines="50" w:line="500" w:lineRule="exact"/>
        <w:ind w:firstLine="551" w:firstLineChars="196"/>
        <w:rPr>
          <w:rFonts w:asciiTheme="minorEastAsia" w:hAnsiTheme="minorEastAsia"/>
          <w:sz w:val="28"/>
          <w:szCs w:val="28"/>
        </w:rPr>
      </w:pPr>
      <w:r>
        <w:rPr>
          <w:rFonts w:hint="eastAsia" w:asciiTheme="minorEastAsia" w:hAnsiTheme="minorEastAsia"/>
          <w:b/>
          <w:sz w:val="28"/>
          <w:szCs w:val="28"/>
        </w:rPr>
        <w:t>总体就业率：</w:t>
      </w:r>
      <w:r>
        <w:rPr>
          <w:rFonts w:hint="eastAsia" w:asciiTheme="minorEastAsia" w:hAnsiTheme="minorEastAsia"/>
          <w:sz w:val="28"/>
          <w:szCs w:val="28"/>
        </w:rPr>
        <w:t>截止2018年11月8日，在</w:t>
      </w:r>
      <w:r>
        <w:rPr>
          <w:rFonts w:asciiTheme="minorEastAsia" w:hAnsiTheme="minorEastAsia"/>
          <w:sz w:val="28"/>
          <w:szCs w:val="28"/>
        </w:rPr>
        <w:t xml:space="preserve"> </w:t>
      </w:r>
      <w:r>
        <w:rPr>
          <w:rFonts w:hint="eastAsia" w:asciiTheme="minorEastAsia" w:hAnsiTheme="minorEastAsia"/>
          <w:sz w:val="28"/>
          <w:szCs w:val="28"/>
        </w:rPr>
        <w:t>4357名毕业生中，己就业人数达3826人，就业率为97.09%，基本实现充分就业，从具体毕业去向来看，“签就业协议形式就业”为毕业生主要去向选择，占比为75.69%，“其他录用形式就业”次之，占比为11.22%。</w:t>
      </w:r>
    </w:p>
    <w:p>
      <w:pPr>
        <w:spacing w:before="156" w:beforeLines="50" w:line="500" w:lineRule="exact"/>
        <w:ind w:firstLine="630" w:firstLineChars="300"/>
        <w:jc w:val="center"/>
        <w:rPr>
          <w:rFonts w:ascii="黑体" w:hAnsi="黑体" w:eastAsia="黑体"/>
        </w:rPr>
      </w:pPr>
      <w:r>
        <w:rPr>
          <w:rFonts w:hint="eastAsia" w:ascii="黑体" w:hAnsi="黑体" w:eastAsia="黑体"/>
        </w:rPr>
        <w:t>表1-3 2018届毕业生毕业去向分布</w:t>
      </w:r>
    </w:p>
    <w:tbl>
      <w:tblPr>
        <w:tblStyle w:val="39"/>
        <w:tblW w:w="8564" w:type="dxa"/>
        <w:jc w:val="center"/>
        <w:tblInd w:w="0" w:type="dxa"/>
        <w:tblBorders>
          <w:top w:val="single" w:color="B0CCB0" w:themeColor="accent2" w:sz="8" w:space="0"/>
          <w:left w:val="single" w:color="B0CCB0" w:themeColor="accent2" w:sz="8" w:space="0"/>
          <w:bottom w:val="single" w:color="B0CCB0" w:themeColor="accent2" w:sz="8" w:space="0"/>
          <w:right w:val="single" w:color="B0CCB0" w:themeColor="accent2" w:sz="8" w:space="0"/>
          <w:insideH w:val="single" w:color="B0CCB0" w:themeColor="accent2" w:sz="8" w:space="0"/>
          <w:insideV w:val="single" w:color="B0CCB0" w:themeColor="accent2" w:sz="8" w:space="0"/>
        </w:tblBorders>
        <w:tblLayout w:type="fixed"/>
        <w:tblCellMar>
          <w:top w:w="0" w:type="dxa"/>
          <w:left w:w="108" w:type="dxa"/>
          <w:bottom w:w="0" w:type="dxa"/>
          <w:right w:w="108" w:type="dxa"/>
        </w:tblCellMar>
      </w:tblPr>
      <w:tblGrid>
        <w:gridCol w:w="3886"/>
        <w:gridCol w:w="1594"/>
        <w:gridCol w:w="1080"/>
        <w:gridCol w:w="2004"/>
      </w:tblGrid>
      <w:tr>
        <w:tblPrEx>
          <w:tblBorders>
            <w:top w:val="single" w:color="B0CCB0" w:themeColor="accent2" w:sz="8" w:space="0"/>
            <w:left w:val="single" w:color="B0CCB0" w:themeColor="accent2" w:sz="8" w:space="0"/>
            <w:bottom w:val="single" w:color="B0CCB0" w:themeColor="accent2" w:sz="8" w:space="0"/>
            <w:right w:val="single" w:color="B0CCB0" w:themeColor="accent2" w:sz="8" w:space="0"/>
            <w:insideH w:val="single" w:color="B0CCB0" w:themeColor="accent2" w:sz="8" w:space="0"/>
            <w:insideV w:val="single" w:color="B0CCB0" w:themeColor="accent2" w:sz="8" w:space="0"/>
          </w:tblBorders>
          <w:tblLayout w:type="fixed"/>
          <w:tblCellMar>
            <w:top w:w="0" w:type="dxa"/>
            <w:left w:w="108" w:type="dxa"/>
            <w:bottom w:w="0" w:type="dxa"/>
            <w:right w:w="108" w:type="dxa"/>
          </w:tblCellMar>
        </w:tblPrEx>
        <w:trPr>
          <w:trHeight w:val="483" w:hRule="atLeast"/>
          <w:jc w:val="center"/>
        </w:trPr>
        <w:tc>
          <w:tcPr>
            <w:tcW w:w="3886" w:type="dxa"/>
            <w:tcBorders>
              <w:top w:val="single" w:color="B0CCB0" w:themeColor="accent2" w:sz="8" w:space="0"/>
              <w:left w:val="single" w:color="B0CCB0" w:themeColor="accent2" w:sz="8" w:space="0"/>
              <w:bottom w:val="single" w:color="B0CCB0" w:themeColor="accent2" w:sz="18" w:space="0"/>
              <w:right w:val="single" w:color="B0CCB0" w:themeColor="accent2" w:sz="8" w:space="0"/>
              <w:insideH w:val="single" w:sz="18" w:space="0"/>
              <w:insideV w:val="single" w:sz="8" w:space="0"/>
            </w:tcBorders>
            <w:shd w:val="clear" w:color="auto" w:fill="76A676" w:themeFill="accent2" w:themeFillShade="BF"/>
            <w:vAlign w:val="center"/>
          </w:tcPr>
          <w:p>
            <w:pPr>
              <w:spacing w:before="0" w:after="0" w:line="240" w:lineRule="auto"/>
              <w:jc w:val="center"/>
              <w:rPr>
                <w:rFonts w:ascii="Arial" w:hAnsi="Arial" w:eastAsia="宋体" w:cs="Arial"/>
                <w:b/>
                <w:bCs/>
                <w:iCs w:val="0"/>
                <w:color w:val="FFFFFF" w:themeColor="background1"/>
                <w:sz w:val="24"/>
                <w:szCs w:val="24"/>
                <w14:textFill>
                  <w14:solidFill>
                    <w14:schemeClr w14:val="bg1"/>
                  </w14:solidFill>
                </w14:textFill>
              </w:rPr>
            </w:pPr>
            <w:r>
              <w:rPr>
                <w:rFonts w:hint="eastAsia" w:ascii="宋体" w:hAnsi="宋体" w:eastAsia="宋体" w:cs="Arial"/>
                <w:b/>
                <w:bCs/>
                <w:iCs w:val="0"/>
                <w:color w:val="FFFFFF" w:themeColor="background1"/>
                <w:sz w:val="24"/>
                <w:szCs w:val="24"/>
                <w14:textFill>
                  <w14:solidFill>
                    <w14:schemeClr w14:val="bg1"/>
                  </w14:solidFill>
                </w14:textFill>
              </w:rPr>
              <w:t>毕业去向</w:t>
            </w:r>
          </w:p>
        </w:tc>
        <w:tc>
          <w:tcPr>
            <w:tcW w:w="1594" w:type="dxa"/>
            <w:tcBorders>
              <w:top w:val="single" w:color="B0CCB0" w:themeColor="accent2" w:sz="8" w:space="0"/>
              <w:bottom w:val="single" w:color="B0CCB0" w:themeColor="accent2" w:sz="18" w:space="0"/>
              <w:right w:val="single" w:color="B0CCB0" w:themeColor="accent2" w:sz="8" w:space="0"/>
              <w:insideH w:val="single" w:sz="18" w:space="0"/>
              <w:insideV w:val="single" w:sz="8" w:space="0"/>
            </w:tcBorders>
            <w:shd w:val="clear" w:color="auto" w:fill="76A676" w:themeFill="accent2" w:themeFillShade="BF"/>
            <w:vAlign w:val="center"/>
          </w:tcPr>
          <w:p>
            <w:pPr>
              <w:spacing w:before="0" w:after="0" w:line="240" w:lineRule="auto"/>
              <w:jc w:val="center"/>
              <w:rPr>
                <w:rFonts w:ascii="宋体" w:hAnsi="宋体" w:eastAsia="宋体" w:cs="宋体"/>
                <w:b/>
                <w:bCs/>
                <w:iCs w:val="0"/>
                <w:color w:val="FFFFFF" w:themeColor="background1"/>
                <w:sz w:val="24"/>
                <w:szCs w:val="24"/>
                <w14:textFill>
                  <w14:solidFill>
                    <w14:schemeClr w14:val="bg1"/>
                  </w14:solidFill>
                </w14:textFill>
              </w:rPr>
            </w:pPr>
            <w:r>
              <w:rPr>
                <w:rFonts w:hint="eastAsia" w:ascii="宋体" w:hAnsi="宋体" w:eastAsia="宋体" w:cs="宋体"/>
                <w:b/>
                <w:bCs/>
                <w:iCs w:val="0"/>
                <w:color w:val="FFFFFF" w:themeColor="background1"/>
                <w:sz w:val="24"/>
                <w:szCs w:val="24"/>
                <w14:textFill>
                  <w14:solidFill>
                    <w14:schemeClr w14:val="bg1"/>
                  </w14:solidFill>
                </w14:textFill>
              </w:rPr>
              <w:t>人数</w:t>
            </w:r>
          </w:p>
        </w:tc>
        <w:tc>
          <w:tcPr>
            <w:tcW w:w="1080" w:type="dxa"/>
            <w:tcBorders>
              <w:top w:val="single" w:color="B0CCB0" w:themeColor="accent2" w:sz="8" w:space="0"/>
              <w:bottom w:val="single" w:color="B0CCB0" w:themeColor="accent2" w:sz="18" w:space="0"/>
              <w:right w:val="single" w:color="B0CCB0" w:themeColor="accent2" w:sz="8" w:space="0"/>
              <w:insideH w:val="single" w:sz="18" w:space="0"/>
              <w:insideV w:val="single" w:sz="8" w:space="0"/>
            </w:tcBorders>
            <w:shd w:val="clear" w:color="auto" w:fill="76A676" w:themeFill="accent2" w:themeFillShade="BF"/>
            <w:vAlign w:val="center"/>
          </w:tcPr>
          <w:p>
            <w:pPr>
              <w:spacing w:before="0" w:after="0" w:line="240" w:lineRule="auto"/>
              <w:jc w:val="center"/>
              <w:rPr>
                <w:rFonts w:ascii="宋体" w:hAnsi="宋体" w:eastAsia="宋体" w:cs="宋体"/>
                <w:b/>
                <w:bCs/>
                <w:iCs w:val="0"/>
                <w:color w:val="FFFFFF" w:themeColor="background1"/>
                <w:sz w:val="24"/>
                <w:szCs w:val="24"/>
                <w14:textFill>
                  <w14:solidFill>
                    <w14:schemeClr w14:val="bg1"/>
                  </w14:solidFill>
                </w14:textFill>
              </w:rPr>
            </w:pPr>
            <w:r>
              <w:rPr>
                <w:rFonts w:hint="eastAsia" w:ascii="宋体" w:hAnsi="宋体" w:eastAsia="宋体" w:cs="宋体"/>
                <w:b/>
                <w:bCs/>
                <w:iCs w:val="0"/>
                <w:color w:val="FFFFFF" w:themeColor="background1"/>
                <w:sz w:val="24"/>
                <w:szCs w:val="24"/>
                <w14:textFill>
                  <w14:solidFill>
                    <w14:schemeClr w14:val="bg1"/>
                  </w14:solidFill>
                </w14:textFill>
              </w:rPr>
              <w:t>比例</w:t>
            </w:r>
          </w:p>
        </w:tc>
        <w:tc>
          <w:tcPr>
            <w:tcW w:w="2004" w:type="dxa"/>
            <w:tcBorders>
              <w:top w:val="single" w:color="B0CCB0" w:themeColor="accent2" w:sz="8" w:space="0"/>
              <w:bottom w:val="single" w:color="B0CCB0" w:themeColor="accent2" w:sz="18" w:space="0"/>
              <w:right w:val="single" w:color="B0CCB0" w:themeColor="accent2" w:sz="8" w:space="0"/>
              <w:insideH w:val="single" w:sz="18" w:space="0"/>
              <w:insideV w:val="single" w:sz="8" w:space="0"/>
            </w:tcBorders>
            <w:shd w:val="clear" w:color="auto" w:fill="76A676" w:themeFill="accent2" w:themeFillShade="BF"/>
            <w:vAlign w:val="center"/>
          </w:tcPr>
          <w:p>
            <w:pPr>
              <w:spacing w:before="0" w:after="0" w:line="240" w:lineRule="auto"/>
              <w:jc w:val="center"/>
              <w:rPr>
                <w:rFonts w:ascii="宋体" w:hAnsi="宋体" w:eastAsia="宋体" w:cs="宋体"/>
                <w:b/>
                <w:bCs/>
                <w:iCs w:val="0"/>
                <w:color w:val="FFFFFF" w:themeColor="background1"/>
                <w:sz w:val="24"/>
                <w:szCs w:val="24"/>
                <w14:textFill>
                  <w14:solidFill>
                    <w14:schemeClr w14:val="bg1"/>
                  </w14:solidFill>
                </w14:textFill>
              </w:rPr>
            </w:pPr>
            <w:r>
              <w:rPr>
                <w:rFonts w:hint="eastAsia" w:ascii="宋体" w:hAnsi="宋体" w:eastAsia="宋体" w:cs="宋体"/>
                <w:b/>
                <w:bCs/>
                <w:iCs w:val="0"/>
                <w:color w:val="FFFFFF" w:themeColor="background1"/>
                <w:sz w:val="24"/>
                <w:szCs w:val="24"/>
                <w14:textFill>
                  <w14:solidFill>
                    <w14:schemeClr w14:val="bg1"/>
                  </w14:solidFill>
                </w14:textFill>
              </w:rPr>
              <w:t>就业率</w:t>
            </w:r>
          </w:p>
        </w:tc>
      </w:tr>
      <w:tr>
        <w:tblPrEx>
          <w:tblBorders>
            <w:top w:val="single" w:color="B0CCB0" w:themeColor="accent2" w:sz="8" w:space="0"/>
            <w:left w:val="single" w:color="B0CCB0" w:themeColor="accent2" w:sz="8" w:space="0"/>
            <w:bottom w:val="single" w:color="B0CCB0" w:themeColor="accent2" w:sz="8" w:space="0"/>
            <w:right w:val="single" w:color="B0CCB0" w:themeColor="accent2" w:sz="8" w:space="0"/>
            <w:insideH w:val="single" w:color="B0CCB0" w:themeColor="accent2" w:sz="8" w:space="0"/>
            <w:insideV w:val="single" w:color="B0CCB0" w:themeColor="accent2" w:sz="8" w:space="0"/>
          </w:tblBorders>
          <w:tblLayout w:type="fixed"/>
          <w:tblCellMar>
            <w:top w:w="0" w:type="dxa"/>
            <w:left w:w="108" w:type="dxa"/>
            <w:bottom w:w="0" w:type="dxa"/>
            <w:right w:w="108" w:type="dxa"/>
          </w:tblCellMar>
        </w:tblPrEx>
        <w:trPr>
          <w:trHeight w:val="394" w:hRule="atLeast"/>
          <w:jc w:val="center"/>
        </w:trPr>
        <w:tc>
          <w:tcPr>
            <w:tcW w:w="3886" w:type="dxa"/>
            <w:tcBorders>
              <w:top w:val="single" w:color="B0CCB0" w:themeColor="accent2" w:sz="8" w:space="0"/>
              <w:left w:val="single" w:color="B0CCB0" w:themeColor="accent2" w:sz="8" w:space="0"/>
              <w:bottom w:val="single" w:color="B0CCB0" w:themeColor="accent2" w:sz="8" w:space="0"/>
              <w:right w:val="single" w:color="B0CCB0" w:themeColor="accent2" w:sz="8" w:space="0"/>
              <w:insideH w:val="single" w:sz="8" w:space="0"/>
              <w:insideV w:val="single" w:sz="8" w:space="0"/>
            </w:tcBorders>
            <w:shd w:val="clear" w:color="auto" w:fill="EBF2EB" w:themeFill="accent2" w:themeFillTint="3F"/>
            <w:vAlign w:val="center"/>
          </w:tcPr>
          <w:p>
            <w:pPr>
              <w:spacing w:after="0" w:line="240" w:lineRule="auto"/>
              <w:jc w:val="center"/>
              <w:rPr>
                <w:rFonts w:ascii="Arial" w:hAnsi="Arial" w:eastAsia="宋体" w:cs="Arial"/>
                <w:b w:val="0"/>
                <w:bCs/>
                <w:iCs w:val="0"/>
                <w:color w:val="000000"/>
              </w:rPr>
            </w:pPr>
            <w:r>
              <w:rPr>
                <w:rFonts w:ascii="Arial" w:hAnsi="Arial" w:eastAsia="宋体" w:cs="Arial"/>
                <w:b w:val="0"/>
                <w:bCs/>
                <w:iCs w:val="0"/>
                <w:color w:val="000000"/>
              </w:rPr>
              <w:t>签就业协议形式就业</w:t>
            </w:r>
          </w:p>
        </w:tc>
        <w:tc>
          <w:tcPr>
            <w:tcW w:w="1594" w:type="dxa"/>
            <w:tcBorders>
              <w:top w:val="single" w:color="B0CCB0" w:themeColor="accent2" w:sz="8" w:space="0"/>
              <w:bottom w:val="single" w:color="B0CCB0" w:themeColor="accent2" w:sz="8" w:space="0"/>
              <w:right w:val="single" w:color="B0CCB0" w:themeColor="accent2" w:sz="8" w:space="0"/>
              <w:insideH w:val="single" w:sz="8" w:space="0"/>
              <w:insideV w:val="single" w:sz="8" w:space="0"/>
            </w:tcBorders>
            <w:shd w:val="clear" w:color="auto" w:fill="EBF2EB" w:themeFill="accent2" w:themeFillTint="3F"/>
            <w:vAlign w:val="center"/>
          </w:tcPr>
          <w:p>
            <w:pPr>
              <w:spacing w:after="0" w:line="240" w:lineRule="auto"/>
              <w:jc w:val="center"/>
              <w:rPr>
                <w:rFonts w:ascii="Arial" w:hAnsi="Arial" w:eastAsia="宋体" w:cs="Arial"/>
                <w:iCs w:val="0"/>
                <w:color w:val="000000"/>
              </w:rPr>
            </w:pPr>
            <w:r>
              <w:rPr>
                <w:rFonts w:ascii="Arial" w:hAnsi="Arial" w:eastAsia="宋体" w:cs="Arial"/>
                <w:iCs w:val="0"/>
                <w:color w:val="000000"/>
              </w:rPr>
              <w:t>3298</w:t>
            </w:r>
          </w:p>
        </w:tc>
        <w:tc>
          <w:tcPr>
            <w:tcW w:w="1080" w:type="dxa"/>
            <w:tcBorders>
              <w:top w:val="single" w:color="B0CCB0" w:themeColor="accent2" w:sz="8" w:space="0"/>
              <w:bottom w:val="single" w:color="B0CCB0" w:themeColor="accent2" w:sz="8" w:space="0"/>
              <w:right w:val="single" w:color="B0CCB0" w:themeColor="accent2" w:sz="8" w:space="0"/>
              <w:insideH w:val="single" w:sz="8" w:space="0"/>
              <w:insideV w:val="single" w:sz="8" w:space="0"/>
            </w:tcBorders>
            <w:shd w:val="clear" w:color="auto" w:fill="EBF2EB" w:themeFill="accent2" w:themeFillTint="3F"/>
            <w:vAlign w:val="center"/>
          </w:tcPr>
          <w:p>
            <w:pPr>
              <w:spacing w:after="0" w:line="240" w:lineRule="auto"/>
              <w:jc w:val="center"/>
              <w:rPr>
                <w:rFonts w:ascii="Arial" w:hAnsi="Arial" w:eastAsia="宋体" w:cs="Arial"/>
                <w:iCs w:val="0"/>
                <w:color w:val="000000"/>
              </w:rPr>
            </w:pPr>
            <w:r>
              <w:rPr>
                <w:rFonts w:ascii="Arial" w:hAnsi="Arial" w:eastAsia="宋体" w:cs="Arial"/>
                <w:iCs w:val="0"/>
                <w:color w:val="000000"/>
              </w:rPr>
              <w:t>75.69%</w:t>
            </w:r>
          </w:p>
        </w:tc>
        <w:tc>
          <w:tcPr>
            <w:tcW w:w="2004" w:type="dxa"/>
            <w:vMerge w:val="restart"/>
            <w:tcBorders>
              <w:top w:val="single" w:color="B0CCB0" w:themeColor="accent2" w:sz="8" w:space="0"/>
              <w:bottom w:val="single" w:color="B0CCB0" w:themeColor="accent2" w:sz="8" w:space="0"/>
              <w:right w:val="single" w:color="B0CCB0" w:themeColor="accent2" w:sz="8" w:space="0"/>
              <w:insideH w:val="single" w:sz="8" w:space="0"/>
              <w:insideV w:val="single" w:sz="8" w:space="0"/>
            </w:tcBorders>
            <w:shd w:val="clear" w:color="auto" w:fill="EBF2EB" w:themeFill="accent2" w:themeFillTint="3F"/>
            <w:vAlign w:val="center"/>
          </w:tcPr>
          <w:p>
            <w:pPr>
              <w:spacing w:after="0" w:line="240" w:lineRule="auto"/>
              <w:jc w:val="center"/>
              <w:rPr>
                <w:rFonts w:ascii="宋体" w:hAnsi="宋体" w:eastAsia="宋体" w:cs="宋体"/>
                <w:b/>
                <w:iCs w:val="0"/>
                <w:color w:val="000000"/>
                <w:sz w:val="36"/>
                <w:szCs w:val="36"/>
              </w:rPr>
            </w:pPr>
            <w:r>
              <w:rPr>
                <w:rFonts w:hint="eastAsia" w:ascii="宋体" w:hAnsi="宋体" w:eastAsia="宋体" w:cs="宋体"/>
                <w:b/>
                <w:iCs w:val="0"/>
                <w:color w:val="000000"/>
                <w:sz w:val="36"/>
                <w:szCs w:val="36"/>
              </w:rPr>
              <w:t>97.09%</w:t>
            </w:r>
          </w:p>
        </w:tc>
      </w:tr>
      <w:tr>
        <w:tblPrEx>
          <w:tblBorders>
            <w:top w:val="single" w:color="B0CCB0" w:themeColor="accent2" w:sz="8" w:space="0"/>
            <w:left w:val="single" w:color="B0CCB0" w:themeColor="accent2" w:sz="8" w:space="0"/>
            <w:bottom w:val="single" w:color="B0CCB0" w:themeColor="accent2" w:sz="8" w:space="0"/>
            <w:right w:val="single" w:color="B0CCB0" w:themeColor="accent2" w:sz="8" w:space="0"/>
            <w:insideH w:val="single" w:color="B0CCB0" w:themeColor="accent2" w:sz="8" w:space="0"/>
            <w:insideV w:val="single" w:color="B0CCB0" w:themeColor="accent2" w:sz="8" w:space="0"/>
          </w:tblBorders>
          <w:tblLayout w:type="fixed"/>
          <w:tblCellMar>
            <w:top w:w="0" w:type="dxa"/>
            <w:left w:w="108" w:type="dxa"/>
            <w:bottom w:w="0" w:type="dxa"/>
            <w:right w:w="108" w:type="dxa"/>
          </w:tblCellMar>
        </w:tblPrEx>
        <w:trPr>
          <w:trHeight w:val="399" w:hRule="atLeast"/>
          <w:jc w:val="center"/>
        </w:trPr>
        <w:tc>
          <w:tcPr>
            <w:tcW w:w="3886" w:type="dxa"/>
            <w:tcBorders>
              <w:top w:val="single" w:color="B0CCB0" w:themeColor="accent2" w:sz="8" w:space="0"/>
              <w:left w:val="single" w:color="B0CCB0" w:themeColor="accent2" w:sz="8" w:space="0"/>
              <w:bottom w:val="single" w:color="B0CCB0" w:themeColor="accent2" w:sz="8" w:space="0"/>
              <w:right w:val="single" w:color="B0CCB0" w:themeColor="accent2" w:sz="8" w:space="0"/>
              <w:insideH w:val="single" w:sz="8" w:space="0"/>
              <w:insideV w:val="single" w:sz="8" w:space="0"/>
            </w:tcBorders>
            <w:vAlign w:val="center"/>
          </w:tcPr>
          <w:p>
            <w:pPr>
              <w:spacing w:after="0" w:line="240" w:lineRule="auto"/>
              <w:jc w:val="center"/>
              <w:rPr>
                <w:rFonts w:ascii="Arial" w:hAnsi="Arial" w:eastAsia="宋体" w:cs="Arial"/>
                <w:b w:val="0"/>
                <w:bCs/>
                <w:iCs w:val="0"/>
                <w:color w:val="000000"/>
              </w:rPr>
            </w:pPr>
            <w:r>
              <w:rPr>
                <w:rFonts w:ascii="Arial" w:hAnsi="Arial" w:eastAsia="宋体" w:cs="Arial"/>
                <w:b w:val="0"/>
                <w:bCs/>
                <w:iCs w:val="0"/>
                <w:color w:val="000000"/>
              </w:rPr>
              <w:t>其他录用形式就业</w:t>
            </w:r>
          </w:p>
        </w:tc>
        <w:tc>
          <w:tcPr>
            <w:tcW w:w="1594" w:type="dxa"/>
            <w:tcBorders>
              <w:top w:val="single" w:color="B0CCB0" w:themeColor="accent2" w:sz="8" w:space="0"/>
              <w:bottom w:val="single" w:color="B0CCB0" w:themeColor="accent2" w:sz="8" w:space="0"/>
              <w:right w:val="single" w:color="B0CCB0" w:themeColor="accent2" w:sz="8" w:space="0"/>
              <w:insideH w:val="single" w:sz="8" w:space="0"/>
              <w:insideV w:val="single" w:sz="8" w:space="0"/>
            </w:tcBorders>
            <w:vAlign w:val="center"/>
          </w:tcPr>
          <w:p>
            <w:pPr>
              <w:spacing w:after="0" w:line="240" w:lineRule="auto"/>
              <w:jc w:val="center"/>
              <w:rPr>
                <w:rFonts w:ascii="Arial" w:hAnsi="Arial" w:eastAsia="宋体" w:cs="Arial"/>
                <w:iCs w:val="0"/>
                <w:color w:val="000000"/>
              </w:rPr>
            </w:pPr>
            <w:r>
              <w:rPr>
                <w:rFonts w:ascii="Arial" w:hAnsi="Arial" w:eastAsia="宋体" w:cs="Arial"/>
                <w:iCs w:val="0"/>
                <w:color w:val="000000"/>
              </w:rPr>
              <w:t>489</w:t>
            </w:r>
          </w:p>
        </w:tc>
        <w:tc>
          <w:tcPr>
            <w:tcW w:w="1080" w:type="dxa"/>
            <w:tcBorders>
              <w:top w:val="single" w:color="B0CCB0" w:themeColor="accent2" w:sz="8" w:space="0"/>
              <w:bottom w:val="single" w:color="B0CCB0" w:themeColor="accent2" w:sz="8" w:space="0"/>
              <w:right w:val="single" w:color="B0CCB0" w:themeColor="accent2" w:sz="8" w:space="0"/>
              <w:insideH w:val="single" w:sz="8" w:space="0"/>
              <w:insideV w:val="single" w:sz="8" w:space="0"/>
            </w:tcBorders>
            <w:vAlign w:val="center"/>
          </w:tcPr>
          <w:p>
            <w:pPr>
              <w:spacing w:after="0" w:line="240" w:lineRule="auto"/>
              <w:jc w:val="center"/>
              <w:rPr>
                <w:rFonts w:ascii="Arial" w:hAnsi="Arial" w:eastAsia="宋体" w:cs="Arial"/>
                <w:iCs w:val="0"/>
                <w:color w:val="000000"/>
              </w:rPr>
            </w:pPr>
            <w:r>
              <w:rPr>
                <w:rFonts w:ascii="Arial" w:hAnsi="Arial" w:eastAsia="宋体" w:cs="Arial"/>
                <w:iCs w:val="0"/>
                <w:color w:val="000000"/>
              </w:rPr>
              <w:t>11.22%</w:t>
            </w:r>
          </w:p>
        </w:tc>
        <w:tc>
          <w:tcPr>
            <w:tcW w:w="2004" w:type="dxa"/>
            <w:vMerge w:val="continue"/>
            <w:tcBorders>
              <w:top w:val="single" w:color="B0CCB0" w:themeColor="accent2" w:sz="8" w:space="0"/>
              <w:bottom w:val="single" w:color="B0CCB0" w:themeColor="accent2" w:sz="8" w:space="0"/>
              <w:right w:val="single" w:color="B0CCB0" w:themeColor="accent2" w:sz="8" w:space="0"/>
              <w:insideH w:val="single" w:sz="8" w:space="0"/>
              <w:insideV w:val="single" w:sz="8" w:space="0"/>
            </w:tcBorders>
            <w:vAlign w:val="center"/>
          </w:tcPr>
          <w:p>
            <w:pPr>
              <w:spacing w:after="0" w:line="240" w:lineRule="auto"/>
              <w:jc w:val="center"/>
              <w:rPr>
                <w:rFonts w:ascii="宋体" w:hAnsi="宋体" w:eastAsia="宋体" w:cs="宋体"/>
                <w:iCs w:val="0"/>
                <w:color w:val="000000"/>
                <w:sz w:val="24"/>
                <w:szCs w:val="24"/>
              </w:rPr>
            </w:pPr>
          </w:p>
        </w:tc>
      </w:tr>
      <w:tr>
        <w:tblPrEx>
          <w:tblBorders>
            <w:top w:val="single" w:color="B0CCB0" w:themeColor="accent2" w:sz="8" w:space="0"/>
            <w:left w:val="single" w:color="B0CCB0" w:themeColor="accent2" w:sz="8" w:space="0"/>
            <w:bottom w:val="single" w:color="B0CCB0" w:themeColor="accent2" w:sz="8" w:space="0"/>
            <w:right w:val="single" w:color="B0CCB0" w:themeColor="accent2" w:sz="8" w:space="0"/>
            <w:insideH w:val="single" w:color="B0CCB0" w:themeColor="accent2" w:sz="8" w:space="0"/>
            <w:insideV w:val="single" w:color="B0CCB0" w:themeColor="accent2" w:sz="8" w:space="0"/>
          </w:tblBorders>
          <w:tblLayout w:type="fixed"/>
          <w:tblCellMar>
            <w:top w:w="0" w:type="dxa"/>
            <w:left w:w="108" w:type="dxa"/>
            <w:bottom w:w="0" w:type="dxa"/>
            <w:right w:w="108" w:type="dxa"/>
          </w:tblCellMar>
        </w:tblPrEx>
        <w:trPr>
          <w:trHeight w:val="407" w:hRule="atLeast"/>
          <w:jc w:val="center"/>
        </w:trPr>
        <w:tc>
          <w:tcPr>
            <w:tcW w:w="3886" w:type="dxa"/>
            <w:tcBorders>
              <w:top w:val="single" w:color="B0CCB0" w:themeColor="accent2" w:sz="8" w:space="0"/>
              <w:left w:val="single" w:color="B0CCB0" w:themeColor="accent2" w:sz="8" w:space="0"/>
              <w:bottom w:val="single" w:color="B0CCB0" w:themeColor="accent2" w:sz="8" w:space="0"/>
              <w:right w:val="single" w:color="B0CCB0" w:themeColor="accent2" w:sz="8" w:space="0"/>
              <w:insideH w:val="single" w:sz="8" w:space="0"/>
              <w:insideV w:val="single" w:sz="8" w:space="0"/>
            </w:tcBorders>
            <w:shd w:val="clear" w:color="auto" w:fill="EBF2EB" w:themeFill="accent2" w:themeFillTint="3F"/>
            <w:vAlign w:val="center"/>
          </w:tcPr>
          <w:p>
            <w:pPr>
              <w:spacing w:after="0" w:line="240" w:lineRule="auto"/>
              <w:jc w:val="center"/>
              <w:rPr>
                <w:rFonts w:ascii="Arial" w:hAnsi="Arial" w:eastAsia="宋体" w:cs="Arial"/>
                <w:b w:val="0"/>
                <w:bCs/>
                <w:iCs w:val="0"/>
                <w:color w:val="000000"/>
              </w:rPr>
            </w:pPr>
            <w:r>
              <w:rPr>
                <w:rFonts w:ascii="Arial" w:hAnsi="Arial" w:eastAsia="宋体" w:cs="Arial"/>
                <w:b w:val="0"/>
                <w:bCs/>
                <w:iCs w:val="0"/>
                <w:color w:val="000000"/>
              </w:rPr>
              <w:t>升学</w:t>
            </w:r>
          </w:p>
        </w:tc>
        <w:tc>
          <w:tcPr>
            <w:tcW w:w="1594" w:type="dxa"/>
            <w:tcBorders>
              <w:top w:val="single" w:color="B0CCB0" w:themeColor="accent2" w:sz="8" w:space="0"/>
              <w:bottom w:val="single" w:color="B0CCB0" w:themeColor="accent2" w:sz="8" w:space="0"/>
              <w:right w:val="single" w:color="B0CCB0" w:themeColor="accent2" w:sz="8" w:space="0"/>
              <w:insideH w:val="single" w:sz="8" w:space="0"/>
              <w:insideV w:val="single" w:sz="8" w:space="0"/>
            </w:tcBorders>
            <w:shd w:val="clear" w:color="auto" w:fill="EBF2EB" w:themeFill="accent2" w:themeFillTint="3F"/>
            <w:vAlign w:val="center"/>
          </w:tcPr>
          <w:p>
            <w:pPr>
              <w:spacing w:after="0" w:line="240" w:lineRule="auto"/>
              <w:jc w:val="center"/>
              <w:rPr>
                <w:rFonts w:ascii="Arial" w:hAnsi="Arial" w:eastAsia="宋体" w:cs="Arial"/>
                <w:iCs w:val="0"/>
                <w:color w:val="000000"/>
              </w:rPr>
            </w:pPr>
            <w:r>
              <w:rPr>
                <w:rFonts w:ascii="Arial" w:hAnsi="Arial" w:eastAsia="宋体" w:cs="Arial"/>
                <w:iCs w:val="0"/>
                <w:color w:val="000000"/>
              </w:rPr>
              <w:t>402</w:t>
            </w:r>
          </w:p>
        </w:tc>
        <w:tc>
          <w:tcPr>
            <w:tcW w:w="1080" w:type="dxa"/>
            <w:tcBorders>
              <w:top w:val="single" w:color="B0CCB0" w:themeColor="accent2" w:sz="8" w:space="0"/>
              <w:bottom w:val="single" w:color="B0CCB0" w:themeColor="accent2" w:sz="8" w:space="0"/>
              <w:right w:val="single" w:color="B0CCB0" w:themeColor="accent2" w:sz="8" w:space="0"/>
              <w:insideH w:val="single" w:sz="8" w:space="0"/>
              <w:insideV w:val="single" w:sz="8" w:space="0"/>
            </w:tcBorders>
            <w:shd w:val="clear" w:color="auto" w:fill="EBF2EB" w:themeFill="accent2" w:themeFillTint="3F"/>
            <w:vAlign w:val="center"/>
          </w:tcPr>
          <w:p>
            <w:pPr>
              <w:spacing w:after="0" w:line="240" w:lineRule="auto"/>
              <w:jc w:val="center"/>
              <w:rPr>
                <w:rFonts w:ascii="Arial" w:hAnsi="Arial" w:eastAsia="宋体" w:cs="Arial"/>
                <w:iCs w:val="0"/>
                <w:color w:val="000000"/>
              </w:rPr>
            </w:pPr>
            <w:r>
              <w:rPr>
                <w:rFonts w:ascii="Arial" w:hAnsi="Arial" w:eastAsia="宋体" w:cs="Arial"/>
                <w:iCs w:val="0"/>
                <w:color w:val="000000"/>
              </w:rPr>
              <w:t>9.23%</w:t>
            </w:r>
          </w:p>
        </w:tc>
        <w:tc>
          <w:tcPr>
            <w:tcW w:w="2004" w:type="dxa"/>
            <w:vMerge w:val="continue"/>
            <w:tcBorders>
              <w:top w:val="single" w:color="B0CCB0" w:themeColor="accent2" w:sz="8" w:space="0"/>
              <w:bottom w:val="single" w:color="B0CCB0" w:themeColor="accent2" w:sz="8" w:space="0"/>
              <w:right w:val="single" w:color="B0CCB0" w:themeColor="accent2" w:sz="8" w:space="0"/>
              <w:insideH w:val="single" w:sz="8" w:space="0"/>
              <w:insideV w:val="single" w:sz="8" w:space="0"/>
            </w:tcBorders>
            <w:shd w:val="clear" w:color="auto" w:fill="EBF2EB" w:themeFill="accent2" w:themeFillTint="3F"/>
            <w:vAlign w:val="center"/>
          </w:tcPr>
          <w:p>
            <w:pPr>
              <w:spacing w:after="0" w:line="240" w:lineRule="auto"/>
              <w:jc w:val="center"/>
              <w:rPr>
                <w:rFonts w:ascii="宋体" w:hAnsi="宋体" w:eastAsia="宋体" w:cs="宋体"/>
                <w:iCs w:val="0"/>
                <w:color w:val="000000"/>
                <w:sz w:val="24"/>
                <w:szCs w:val="24"/>
              </w:rPr>
            </w:pPr>
          </w:p>
        </w:tc>
      </w:tr>
      <w:tr>
        <w:tblPrEx>
          <w:tblBorders>
            <w:top w:val="single" w:color="B0CCB0" w:themeColor="accent2" w:sz="8" w:space="0"/>
            <w:left w:val="single" w:color="B0CCB0" w:themeColor="accent2" w:sz="8" w:space="0"/>
            <w:bottom w:val="single" w:color="B0CCB0" w:themeColor="accent2" w:sz="8" w:space="0"/>
            <w:right w:val="single" w:color="B0CCB0" w:themeColor="accent2" w:sz="8" w:space="0"/>
            <w:insideH w:val="single" w:color="B0CCB0" w:themeColor="accent2" w:sz="8" w:space="0"/>
            <w:insideV w:val="single" w:color="B0CCB0" w:themeColor="accent2" w:sz="8" w:space="0"/>
          </w:tblBorders>
          <w:tblLayout w:type="fixed"/>
          <w:tblCellMar>
            <w:top w:w="0" w:type="dxa"/>
            <w:left w:w="108" w:type="dxa"/>
            <w:bottom w:w="0" w:type="dxa"/>
            <w:right w:w="108" w:type="dxa"/>
          </w:tblCellMar>
        </w:tblPrEx>
        <w:trPr>
          <w:trHeight w:val="412" w:hRule="atLeast"/>
          <w:jc w:val="center"/>
        </w:trPr>
        <w:tc>
          <w:tcPr>
            <w:tcW w:w="3886" w:type="dxa"/>
            <w:tcBorders>
              <w:top w:val="single" w:color="B0CCB0" w:themeColor="accent2" w:sz="8" w:space="0"/>
              <w:left w:val="single" w:color="B0CCB0" w:themeColor="accent2" w:sz="8" w:space="0"/>
              <w:bottom w:val="single" w:color="B0CCB0" w:themeColor="accent2" w:sz="8" w:space="0"/>
              <w:right w:val="single" w:color="B0CCB0" w:themeColor="accent2" w:sz="8" w:space="0"/>
              <w:insideH w:val="single" w:sz="8" w:space="0"/>
              <w:insideV w:val="single" w:sz="8" w:space="0"/>
            </w:tcBorders>
            <w:vAlign w:val="center"/>
          </w:tcPr>
          <w:p>
            <w:pPr>
              <w:spacing w:after="0" w:line="240" w:lineRule="auto"/>
              <w:jc w:val="center"/>
              <w:rPr>
                <w:rFonts w:ascii="Arial" w:hAnsi="Arial" w:eastAsia="宋体" w:cs="Arial"/>
                <w:b w:val="0"/>
                <w:bCs/>
                <w:iCs w:val="0"/>
                <w:color w:val="000000"/>
              </w:rPr>
            </w:pPr>
            <w:r>
              <w:rPr>
                <w:rFonts w:ascii="Arial" w:hAnsi="Arial" w:eastAsia="宋体" w:cs="Arial"/>
                <w:b w:val="0"/>
                <w:bCs/>
                <w:iCs w:val="0"/>
                <w:color w:val="000000"/>
              </w:rPr>
              <w:t>签劳动合同形式就业</w:t>
            </w:r>
          </w:p>
        </w:tc>
        <w:tc>
          <w:tcPr>
            <w:tcW w:w="1594" w:type="dxa"/>
            <w:tcBorders>
              <w:top w:val="single" w:color="B0CCB0" w:themeColor="accent2" w:sz="8" w:space="0"/>
              <w:bottom w:val="single" w:color="B0CCB0" w:themeColor="accent2" w:sz="8" w:space="0"/>
              <w:right w:val="single" w:color="B0CCB0" w:themeColor="accent2" w:sz="8" w:space="0"/>
              <w:insideH w:val="single" w:sz="8" w:space="0"/>
              <w:insideV w:val="single" w:sz="8" w:space="0"/>
            </w:tcBorders>
            <w:vAlign w:val="center"/>
          </w:tcPr>
          <w:p>
            <w:pPr>
              <w:spacing w:after="0" w:line="240" w:lineRule="auto"/>
              <w:jc w:val="center"/>
              <w:rPr>
                <w:rFonts w:ascii="Arial" w:hAnsi="Arial" w:eastAsia="宋体" w:cs="Arial"/>
                <w:iCs w:val="0"/>
                <w:color w:val="000000"/>
              </w:rPr>
            </w:pPr>
            <w:r>
              <w:rPr>
                <w:rFonts w:ascii="Arial" w:hAnsi="Arial" w:eastAsia="宋体" w:cs="Arial"/>
                <w:iCs w:val="0"/>
                <w:color w:val="000000"/>
              </w:rPr>
              <w:t>41</w:t>
            </w:r>
          </w:p>
        </w:tc>
        <w:tc>
          <w:tcPr>
            <w:tcW w:w="1080" w:type="dxa"/>
            <w:tcBorders>
              <w:top w:val="single" w:color="B0CCB0" w:themeColor="accent2" w:sz="8" w:space="0"/>
              <w:bottom w:val="single" w:color="B0CCB0" w:themeColor="accent2" w:sz="8" w:space="0"/>
              <w:right w:val="single" w:color="B0CCB0" w:themeColor="accent2" w:sz="8" w:space="0"/>
              <w:insideH w:val="single" w:sz="8" w:space="0"/>
              <w:insideV w:val="single" w:sz="8" w:space="0"/>
            </w:tcBorders>
            <w:vAlign w:val="center"/>
          </w:tcPr>
          <w:p>
            <w:pPr>
              <w:spacing w:after="0" w:line="240" w:lineRule="auto"/>
              <w:jc w:val="center"/>
              <w:rPr>
                <w:rFonts w:ascii="Arial" w:hAnsi="Arial" w:eastAsia="宋体" w:cs="Arial"/>
                <w:iCs w:val="0"/>
                <w:color w:val="000000"/>
              </w:rPr>
            </w:pPr>
            <w:r>
              <w:rPr>
                <w:rFonts w:ascii="Arial" w:hAnsi="Arial" w:eastAsia="宋体" w:cs="Arial"/>
                <w:iCs w:val="0"/>
                <w:color w:val="000000"/>
              </w:rPr>
              <w:t>0.94%</w:t>
            </w:r>
          </w:p>
        </w:tc>
        <w:tc>
          <w:tcPr>
            <w:tcW w:w="2004" w:type="dxa"/>
            <w:vMerge w:val="continue"/>
            <w:tcBorders>
              <w:top w:val="single" w:color="B0CCB0" w:themeColor="accent2" w:sz="8" w:space="0"/>
              <w:bottom w:val="single" w:color="B0CCB0" w:themeColor="accent2" w:sz="8" w:space="0"/>
              <w:right w:val="single" w:color="B0CCB0" w:themeColor="accent2" w:sz="8" w:space="0"/>
              <w:insideH w:val="single" w:sz="8" w:space="0"/>
              <w:insideV w:val="single" w:sz="8" w:space="0"/>
            </w:tcBorders>
            <w:vAlign w:val="center"/>
          </w:tcPr>
          <w:p>
            <w:pPr>
              <w:spacing w:after="0" w:line="240" w:lineRule="auto"/>
              <w:jc w:val="center"/>
              <w:rPr>
                <w:rFonts w:ascii="宋体" w:hAnsi="宋体" w:eastAsia="宋体" w:cs="宋体"/>
                <w:iCs w:val="0"/>
                <w:color w:val="000000"/>
                <w:sz w:val="24"/>
                <w:szCs w:val="24"/>
              </w:rPr>
            </w:pPr>
          </w:p>
        </w:tc>
      </w:tr>
      <w:tr>
        <w:tblPrEx>
          <w:tblBorders>
            <w:top w:val="single" w:color="B0CCB0" w:themeColor="accent2" w:sz="8" w:space="0"/>
            <w:left w:val="single" w:color="B0CCB0" w:themeColor="accent2" w:sz="8" w:space="0"/>
            <w:bottom w:val="single" w:color="B0CCB0" w:themeColor="accent2" w:sz="8" w:space="0"/>
            <w:right w:val="single" w:color="B0CCB0" w:themeColor="accent2" w:sz="8" w:space="0"/>
            <w:insideH w:val="single" w:color="B0CCB0" w:themeColor="accent2" w:sz="8" w:space="0"/>
            <w:insideV w:val="single" w:color="B0CCB0" w:themeColor="accent2" w:sz="8" w:space="0"/>
          </w:tblBorders>
          <w:tblLayout w:type="fixed"/>
        </w:tblPrEx>
        <w:trPr>
          <w:trHeight w:val="390" w:hRule="atLeast"/>
          <w:jc w:val="center"/>
        </w:trPr>
        <w:tc>
          <w:tcPr>
            <w:tcW w:w="3886" w:type="dxa"/>
            <w:tcBorders>
              <w:top w:val="single" w:color="B0CCB0" w:themeColor="accent2" w:sz="8" w:space="0"/>
              <w:left w:val="single" w:color="B0CCB0" w:themeColor="accent2" w:sz="8" w:space="0"/>
              <w:bottom w:val="single" w:color="B0CCB0" w:themeColor="accent2" w:sz="8" w:space="0"/>
              <w:right w:val="single" w:color="B0CCB0" w:themeColor="accent2" w:sz="8" w:space="0"/>
              <w:insideH w:val="single" w:sz="8" w:space="0"/>
              <w:insideV w:val="single" w:sz="8" w:space="0"/>
            </w:tcBorders>
            <w:shd w:val="clear" w:color="auto" w:fill="EBF2EB" w:themeFill="accent2" w:themeFillTint="3F"/>
            <w:vAlign w:val="center"/>
          </w:tcPr>
          <w:p>
            <w:pPr>
              <w:spacing w:after="0" w:line="240" w:lineRule="auto"/>
              <w:jc w:val="center"/>
              <w:rPr>
                <w:rFonts w:ascii="Arial" w:hAnsi="Arial" w:eastAsia="宋体" w:cs="Arial"/>
                <w:b w:val="0"/>
                <w:bCs/>
                <w:iCs w:val="0"/>
                <w:color w:val="000000"/>
              </w:rPr>
            </w:pPr>
            <w:r>
              <w:rPr>
                <w:rFonts w:ascii="Arial" w:hAnsi="Arial" w:eastAsia="宋体" w:cs="Arial"/>
                <w:b w:val="0"/>
                <w:bCs/>
                <w:iCs w:val="0"/>
                <w:color w:val="000000"/>
              </w:rPr>
              <w:t>待就业</w:t>
            </w:r>
          </w:p>
        </w:tc>
        <w:tc>
          <w:tcPr>
            <w:tcW w:w="1594" w:type="dxa"/>
            <w:tcBorders>
              <w:top w:val="single" w:color="B0CCB0" w:themeColor="accent2" w:sz="8" w:space="0"/>
              <w:bottom w:val="single" w:color="B0CCB0" w:themeColor="accent2" w:sz="8" w:space="0"/>
              <w:right w:val="single" w:color="B0CCB0" w:themeColor="accent2" w:sz="8" w:space="0"/>
              <w:insideH w:val="single" w:sz="8" w:space="0"/>
              <w:insideV w:val="single" w:sz="8" w:space="0"/>
            </w:tcBorders>
            <w:shd w:val="clear" w:color="auto" w:fill="EBF2EB" w:themeFill="accent2" w:themeFillTint="3F"/>
            <w:vAlign w:val="center"/>
          </w:tcPr>
          <w:p>
            <w:pPr>
              <w:spacing w:after="0" w:line="240" w:lineRule="auto"/>
              <w:jc w:val="center"/>
              <w:rPr>
                <w:rFonts w:ascii="Arial" w:hAnsi="Arial" w:eastAsia="宋体" w:cs="Arial"/>
                <w:iCs w:val="0"/>
                <w:color w:val="000000"/>
              </w:rPr>
            </w:pPr>
            <w:r>
              <w:rPr>
                <w:rFonts w:ascii="Arial" w:hAnsi="Arial" w:eastAsia="宋体" w:cs="Arial"/>
                <w:iCs w:val="0"/>
                <w:color w:val="000000"/>
              </w:rPr>
              <w:t>127</w:t>
            </w:r>
          </w:p>
        </w:tc>
        <w:tc>
          <w:tcPr>
            <w:tcW w:w="1080" w:type="dxa"/>
            <w:tcBorders>
              <w:top w:val="single" w:color="B0CCB0" w:themeColor="accent2" w:sz="8" w:space="0"/>
              <w:bottom w:val="single" w:color="B0CCB0" w:themeColor="accent2" w:sz="8" w:space="0"/>
              <w:right w:val="single" w:color="B0CCB0" w:themeColor="accent2" w:sz="8" w:space="0"/>
              <w:insideH w:val="single" w:sz="8" w:space="0"/>
              <w:insideV w:val="single" w:sz="8" w:space="0"/>
            </w:tcBorders>
            <w:shd w:val="clear" w:color="auto" w:fill="EBF2EB" w:themeFill="accent2" w:themeFillTint="3F"/>
            <w:vAlign w:val="center"/>
          </w:tcPr>
          <w:p>
            <w:pPr>
              <w:spacing w:after="0" w:line="240" w:lineRule="auto"/>
              <w:jc w:val="center"/>
              <w:rPr>
                <w:rFonts w:ascii="Arial" w:hAnsi="Arial" w:eastAsia="宋体" w:cs="Arial"/>
                <w:iCs w:val="0"/>
                <w:color w:val="000000"/>
              </w:rPr>
            </w:pPr>
            <w:r>
              <w:rPr>
                <w:rFonts w:ascii="Arial" w:hAnsi="Arial" w:eastAsia="宋体" w:cs="Arial"/>
                <w:iCs w:val="0"/>
                <w:color w:val="000000"/>
              </w:rPr>
              <w:t>2.91%</w:t>
            </w:r>
          </w:p>
        </w:tc>
        <w:tc>
          <w:tcPr>
            <w:tcW w:w="2004" w:type="dxa"/>
            <w:tcBorders>
              <w:top w:val="single" w:color="B0CCB0" w:themeColor="accent2" w:sz="8" w:space="0"/>
              <w:bottom w:val="single" w:color="B0CCB0" w:themeColor="accent2" w:sz="8" w:space="0"/>
              <w:right w:val="single" w:color="B0CCB0" w:themeColor="accent2" w:sz="8" w:space="0"/>
              <w:insideH w:val="single" w:sz="8" w:space="0"/>
              <w:insideV w:val="single" w:sz="8" w:space="0"/>
            </w:tcBorders>
            <w:shd w:val="clear" w:color="auto" w:fill="EBF2EB" w:themeFill="accent2" w:themeFillTint="3F"/>
            <w:vAlign w:val="center"/>
          </w:tcPr>
          <w:p>
            <w:pPr>
              <w:spacing w:after="0" w:line="240" w:lineRule="auto"/>
              <w:jc w:val="center"/>
              <w:rPr>
                <w:rFonts w:ascii="宋体" w:hAnsi="宋体" w:eastAsia="宋体" w:cs="宋体"/>
                <w:iCs w:val="0"/>
                <w:color w:val="000000"/>
                <w:sz w:val="24"/>
                <w:szCs w:val="24"/>
              </w:rPr>
            </w:pPr>
          </w:p>
        </w:tc>
      </w:tr>
    </w:tbl>
    <w:p>
      <w:pPr>
        <w:jc w:val="center"/>
      </w:pPr>
    </w:p>
    <w:p>
      <w:pPr>
        <w:spacing w:line="360" w:lineRule="auto"/>
        <w:ind w:firstLine="420" w:firstLineChars="200"/>
      </w:pPr>
      <w:r>
        <w:rPr>
          <w:rFonts w:hint="eastAsia" w:ascii="宋体" w:hAnsi="宋体" w:eastAsia="宋体"/>
        </w:rPr>
        <w:t>注：就业率=（签就业协议形式就业人数+其他录用形式就业人数+升学+签劳动合同形式就业人数）÷毕业生总人数×100.00%。</w:t>
      </w:r>
    </w:p>
    <w:p>
      <w:pPr>
        <w:spacing w:before="156" w:beforeLines="50" w:line="500" w:lineRule="exact"/>
        <w:rPr>
          <w:rFonts w:ascii="宋体" w:hAnsi="宋体" w:eastAsia="宋体"/>
          <w:sz w:val="20"/>
          <w:szCs w:val="20"/>
        </w:rPr>
      </w:pPr>
      <w:bookmarkStart w:id="8" w:name="_Toc533510628"/>
      <w:r>
        <w:rPr>
          <w:rFonts w:hint="eastAsia" w:ascii="宋体" w:hAnsi="宋体" w:eastAsia="宋体"/>
          <w:sz w:val="20"/>
          <w:szCs w:val="20"/>
        </w:rPr>
        <w:t>数据来源：重庆市大学中专毕业生就业办公信息系统</w:t>
      </w:r>
    </w:p>
    <w:p>
      <w:pPr>
        <w:pStyle w:val="4"/>
      </w:pPr>
      <w:r>
        <w:rPr>
          <w:rFonts w:hint="eastAsia"/>
        </w:rPr>
        <w:t>（二）各院系/专业的就业率</w:t>
      </w:r>
      <w:bookmarkEnd w:id="8"/>
    </w:p>
    <w:p>
      <w:pPr>
        <w:spacing w:before="156" w:beforeLines="50" w:line="500" w:lineRule="exact"/>
        <w:ind w:firstLine="562" w:firstLineChars="200"/>
        <w:rPr>
          <w:rFonts w:ascii="宋体" w:hAnsi="宋体" w:eastAsia="宋体"/>
          <w:sz w:val="28"/>
          <w:szCs w:val="28"/>
        </w:rPr>
      </w:pPr>
      <w:r>
        <w:rPr>
          <w:rFonts w:hint="eastAsia" w:ascii="宋体" w:hAnsi="宋体" w:eastAsia="宋体"/>
          <w:b/>
          <w:sz w:val="28"/>
          <w:szCs w:val="28"/>
        </w:rPr>
        <w:t>各院系就业率：</w:t>
      </w:r>
      <w:r>
        <w:rPr>
          <w:rFonts w:hint="eastAsia" w:ascii="宋体" w:hAnsi="宋体" w:eastAsia="宋体"/>
          <w:sz w:val="28"/>
          <w:szCs w:val="28"/>
        </w:rPr>
        <w:t>2018届毕业生分布在6个院部，，各院部就业率均在95.00%以上，其中就业率最高的院系是基础部（100%），其次是药学院（98.52%）。</w:t>
      </w:r>
    </w:p>
    <w:p>
      <w:pPr>
        <w:spacing w:before="156" w:beforeLines="50" w:line="360" w:lineRule="auto"/>
        <w:ind w:firstLine="630" w:firstLineChars="300"/>
        <w:jc w:val="center"/>
        <w:rPr>
          <w:rFonts w:ascii="黑体" w:hAnsi="黑体" w:eastAsia="黑体"/>
        </w:rPr>
      </w:pPr>
      <w:r>
        <w:drawing>
          <wp:inline distT="0" distB="0" distL="0" distR="0">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before="156" w:beforeLines="50" w:line="360" w:lineRule="auto"/>
        <w:ind w:firstLine="630" w:firstLineChars="300"/>
        <w:jc w:val="center"/>
        <w:rPr>
          <w:rFonts w:ascii="黑体" w:hAnsi="黑体" w:eastAsia="黑体"/>
        </w:rPr>
      </w:pPr>
      <w:r>
        <w:rPr>
          <w:rFonts w:hint="eastAsia" w:ascii="黑体" w:hAnsi="黑体" w:eastAsia="黑体"/>
        </w:rPr>
        <w:t>图1-2 2018届毕业生总体就业率</w:t>
      </w:r>
    </w:p>
    <w:p>
      <w:pPr>
        <w:spacing w:before="156" w:beforeLines="50" w:line="500" w:lineRule="exact"/>
        <w:rPr>
          <w:rFonts w:ascii="宋体" w:hAnsi="宋体" w:eastAsia="宋体"/>
          <w:sz w:val="20"/>
          <w:szCs w:val="20"/>
        </w:rPr>
      </w:pPr>
      <w:r>
        <w:rPr>
          <w:rFonts w:hint="eastAsia" w:ascii="宋体" w:hAnsi="宋体" w:eastAsia="宋体"/>
          <w:sz w:val="20"/>
          <w:szCs w:val="20"/>
        </w:rPr>
        <w:t>数据来源：重庆市大学中专毕业生就业办公信息系统</w:t>
      </w:r>
    </w:p>
    <w:p>
      <w:pPr>
        <w:spacing w:before="156" w:beforeLines="50" w:line="500" w:lineRule="exact"/>
        <w:ind w:firstLine="562" w:firstLineChars="200"/>
        <w:rPr>
          <w:rFonts w:ascii="宋体" w:hAnsi="宋体" w:eastAsia="宋体"/>
          <w:sz w:val="28"/>
          <w:szCs w:val="28"/>
        </w:rPr>
      </w:pPr>
      <w:r>
        <w:rPr>
          <w:rFonts w:hint="eastAsia" w:ascii="宋体" w:hAnsi="宋体" w:eastAsia="宋体"/>
          <w:b/>
          <w:sz w:val="28"/>
          <w:szCs w:val="28"/>
        </w:rPr>
        <w:t>各专业就业率：</w:t>
      </w:r>
      <w:r>
        <w:rPr>
          <w:rFonts w:hint="eastAsia" w:ascii="宋体" w:hAnsi="宋体" w:eastAsia="宋体"/>
          <w:sz w:val="28"/>
          <w:szCs w:val="28"/>
        </w:rPr>
        <w:t>2018届毕业生分布在22个专业，各专业就业率均在92.00%以上。其中生物制药技术、药剂设备制造与维护、药品质量检测技术、药物制剂技术、中药制药技术、康复治疗技术、医疗美容技术</w:t>
      </w:r>
      <w:r>
        <w:rPr>
          <w:rFonts w:hint="eastAsia" w:ascii="宋体" w:hAnsi="宋体" w:eastAsia="宋体" w:cs="宋体"/>
          <w:color w:val="000000"/>
          <w:sz w:val="28"/>
          <w:szCs w:val="28"/>
        </w:rPr>
        <w:t>等10个专业就业率均达到100%。具体如下表：</w:t>
      </w:r>
    </w:p>
    <w:p>
      <w:pPr>
        <w:spacing w:before="156" w:beforeLines="50" w:line="500" w:lineRule="exact"/>
        <w:jc w:val="center"/>
        <w:rPr>
          <w:rFonts w:ascii="黑体" w:hAnsi="黑体" w:eastAsia="黑体"/>
          <w:sz w:val="24"/>
          <w:szCs w:val="24"/>
        </w:rPr>
      </w:pPr>
      <w:r>
        <w:rPr>
          <w:rFonts w:hint="eastAsia" w:ascii="黑体" w:hAnsi="黑体" w:eastAsia="黑体"/>
        </w:rPr>
        <w:t>表</w:t>
      </w:r>
      <w:r>
        <w:rPr>
          <w:rFonts w:ascii="黑体" w:hAnsi="黑体" w:eastAsia="黑体" w:cs="Times New Roman"/>
          <w:bCs/>
        </w:rPr>
        <w:t>1-</w:t>
      </w:r>
      <w:r>
        <w:rPr>
          <w:rFonts w:hint="eastAsia" w:ascii="黑体" w:hAnsi="黑体" w:eastAsia="黑体" w:cs="Times New Roman"/>
          <w:bCs/>
        </w:rPr>
        <w:t>4</w:t>
      </w:r>
      <w:r>
        <w:rPr>
          <w:rFonts w:ascii="黑体" w:hAnsi="黑体" w:eastAsia="黑体" w:cs="Times New Roman"/>
          <w:bCs/>
        </w:rPr>
        <w:t xml:space="preserve"> 201</w:t>
      </w:r>
      <w:r>
        <w:rPr>
          <w:rFonts w:hint="eastAsia" w:ascii="黑体" w:hAnsi="黑体" w:eastAsia="黑体" w:cs="Times New Roman"/>
          <w:bCs/>
        </w:rPr>
        <w:t>8</w:t>
      </w:r>
      <w:r>
        <w:rPr>
          <w:rFonts w:hint="eastAsia" w:ascii="黑体" w:hAnsi="黑体" w:eastAsia="黑体"/>
        </w:rPr>
        <w:t>届毕业生各专业就业率</w:t>
      </w:r>
    </w:p>
    <w:tbl>
      <w:tblPr>
        <w:tblStyle w:val="49"/>
        <w:tblW w:w="9639" w:type="dxa"/>
        <w:jc w:val="center"/>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
      <w:tblGrid>
        <w:gridCol w:w="2694"/>
        <w:gridCol w:w="1701"/>
        <w:gridCol w:w="1701"/>
        <w:gridCol w:w="1701"/>
        <w:gridCol w:w="1842"/>
      </w:tblGrid>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72A376" w:themeFill="accent1"/>
            <w:vAlign w:val="center"/>
          </w:tcPr>
          <w:p>
            <w:pPr>
              <w:spacing w:after="0" w:line="240" w:lineRule="auto"/>
              <w:jc w:val="center"/>
              <w:rPr>
                <w:rFonts w:ascii="宋体" w:hAnsi="宋体" w:eastAsia="宋体" w:cs="宋体"/>
                <w:b/>
                <w:bCs/>
                <w:i w:val="0"/>
                <w:iCs/>
                <w:color w:val="FFFFFF"/>
                <w:sz w:val="22"/>
                <w:szCs w:val="22"/>
              </w:rPr>
            </w:pPr>
            <w:r>
              <w:rPr>
                <w:rFonts w:hint="eastAsia"/>
                <w:b/>
                <w:bCs w:val="0"/>
                <w:i w:val="0"/>
                <w:iCs/>
                <w:color w:val="FFFFFF"/>
                <w:sz w:val="22"/>
                <w:szCs w:val="22"/>
              </w:rPr>
              <w:t>专业</w:t>
            </w:r>
          </w:p>
        </w:tc>
        <w:tc>
          <w:tcPr>
            <w:tcW w:w="1701" w:type="dxa"/>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72A376" w:themeFill="accent1"/>
            <w:vAlign w:val="center"/>
          </w:tcPr>
          <w:p>
            <w:pPr>
              <w:spacing w:after="0" w:line="240" w:lineRule="auto"/>
              <w:jc w:val="center"/>
              <w:rPr>
                <w:rFonts w:ascii="宋体" w:hAnsi="宋体" w:eastAsia="宋体" w:cs="宋体"/>
                <w:b/>
                <w:bCs/>
                <w:i w:val="0"/>
                <w:iCs/>
                <w:color w:val="FFFFFF"/>
                <w:sz w:val="22"/>
                <w:szCs w:val="22"/>
              </w:rPr>
            </w:pPr>
            <w:r>
              <w:rPr>
                <w:rFonts w:hint="eastAsia"/>
                <w:b/>
                <w:bCs w:val="0"/>
                <w:i w:val="0"/>
                <w:iCs/>
                <w:color w:val="FFFFFF"/>
                <w:sz w:val="22"/>
                <w:szCs w:val="22"/>
              </w:rPr>
              <w:t>总人数</w:t>
            </w:r>
          </w:p>
        </w:tc>
        <w:tc>
          <w:tcPr>
            <w:tcW w:w="1701" w:type="dxa"/>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72A376" w:themeFill="accent1"/>
            <w:vAlign w:val="center"/>
          </w:tcPr>
          <w:p>
            <w:pPr>
              <w:spacing w:after="0" w:line="240" w:lineRule="auto"/>
              <w:jc w:val="center"/>
              <w:rPr>
                <w:rFonts w:ascii="宋体" w:hAnsi="宋体" w:eastAsia="宋体" w:cs="宋体"/>
                <w:b/>
                <w:bCs/>
                <w:i w:val="0"/>
                <w:iCs/>
                <w:color w:val="FFFFFF"/>
                <w:sz w:val="22"/>
                <w:szCs w:val="22"/>
              </w:rPr>
            </w:pPr>
            <w:r>
              <w:rPr>
                <w:rFonts w:hint="eastAsia"/>
                <w:b/>
                <w:bCs w:val="0"/>
                <w:i w:val="0"/>
                <w:iCs/>
                <w:color w:val="FFFFFF"/>
                <w:sz w:val="22"/>
                <w:szCs w:val="22"/>
              </w:rPr>
              <w:t>就业人数</w:t>
            </w:r>
          </w:p>
        </w:tc>
        <w:tc>
          <w:tcPr>
            <w:tcW w:w="1701" w:type="dxa"/>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72A376" w:themeFill="accent1"/>
            <w:vAlign w:val="center"/>
          </w:tcPr>
          <w:p>
            <w:pPr>
              <w:spacing w:after="0" w:line="240" w:lineRule="auto"/>
              <w:jc w:val="center"/>
              <w:rPr>
                <w:rFonts w:ascii="宋体" w:hAnsi="宋体" w:eastAsia="宋体" w:cs="宋体"/>
                <w:b/>
                <w:bCs/>
                <w:i w:val="0"/>
                <w:iCs/>
                <w:color w:val="FFFFFF"/>
                <w:sz w:val="22"/>
                <w:szCs w:val="22"/>
              </w:rPr>
            </w:pPr>
            <w:r>
              <w:rPr>
                <w:rFonts w:hint="eastAsia"/>
                <w:b/>
                <w:bCs w:val="0"/>
                <w:i w:val="0"/>
                <w:iCs/>
                <w:color w:val="FFFFFF"/>
                <w:sz w:val="22"/>
                <w:szCs w:val="22"/>
              </w:rPr>
              <w:t>升学</w:t>
            </w:r>
          </w:p>
        </w:tc>
        <w:tc>
          <w:tcPr>
            <w:tcW w:w="1842" w:type="dxa"/>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72A376" w:themeFill="accent1"/>
            <w:vAlign w:val="center"/>
          </w:tcPr>
          <w:p>
            <w:pPr>
              <w:spacing w:after="0" w:line="240" w:lineRule="auto"/>
              <w:jc w:val="center"/>
              <w:rPr>
                <w:rFonts w:ascii="宋体" w:hAnsi="宋体" w:eastAsia="宋体" w:cs="宋体"/>
                <w:b/>
                <w:bCs/>
                <w:i w:val="0"/>
                <w:iCs/>
                <w:color w:val="FFFFFF"/>
                <w:sz w:val="22"/>
                <w:szCs w:val="22"/>
              </w:rPr>
            </w:pPr>
            <w:r>
              <w:rPr>
                <w:rFonts w:hint="eastAsia"/>
                <w:b/>
                <w:bCs w:val="0"/>
                <w:i w:val="0"/>
                <w:iCs/>
                <w:color w:val="FFFFFF"/>
                <w:sz w:val="22"/>
                <w:szCs w:val="22"/>
              </w:rPr>
              <w:t>就业率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康复治疗技术</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147</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147</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8</w:t>
            </w:r>
          </w:p>
        </w:tc>
        <w:tc>
          <w:tcPr>
            <w:tcW w:w="184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100.00%</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生物制药技术</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38</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38</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15</w:t>
            </w:r>
          </w:p>
        </w:tc>
        <w:tc>
          <w:tcPr>
            <w:tcW w:w="1842"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100.00%</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眼视光技术</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56</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56</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0</w:t>
            </w:r>
          </w:p>
        </w:tc>
        <w:tc>
          <w:tcPr>
            <w:tcW w:w="184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100.00%</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药剂设备制造与维护</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29</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29</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w:t>
            </w:r>
          </w:p>
        </w:tc>
        <w:tc>
          <w:tcPr>
            <w:tcW w:w="1842"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100.00%</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PrEx>
        <w:trPr>
          <w:trHeight w:val="337" w:hRule="atLeast"/>
          <w:jc w:val="center"/>
        </w:trPr>
        <w:tc>
          <w:tcPr>
            <w:tcW w:w="2694"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药品质量检测技术</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50</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50</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w:t>
            </w:r>
          </w:p>
        </w:tc>
        <w:tc>
          <w:tcPr>
            <w:tcW w:w="184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100.00%</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药物制剂技术</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120</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120</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17</w:t>
            </w:r>
          </w:p>
        </w:tc>
        <w:tc>
          <w:tcPr>
            <w:tcW w:w="1842"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100.00%</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医疗美容技术</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98</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98</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0</w:t>
            </w:r>
          </w:p>
        </w:tc>
        <w:tc>
          <w:tcPr>
            <w:tcW w:w="184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100.00%</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医学影像设备管理与维护</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40</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40</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w:t>
            </w:r>
          </w:p>
        </w:tc>
        <w:tc>
          <w:tcPr>
            <w:tcW w:w="1842"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100.00%</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医用电子仪器与维护</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39</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39</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w:t>
            </w:r>
          </w:p>
        </w:tc>
        <w:tc>
          <w:tcPr>
            <w:tcW w:w="184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100.00%</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中药制药技术</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61</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61</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w:t>
            </w:r>
          </w:p>
        </w:tc>
        <w:tc>
          <w:tcPr>
            <w:tcW w:w="1842"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100.00%</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PrEx>
        <w:trPr>
          <w:trHeight w:val="337" w:hRule="atLeast"/>
          <w:jc w:val="center"/>
        </w:trPr>
        <w:tc>
          <w:tcPr>
            <w:tcW w:w="2694"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针灸推拿</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88</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87</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8</w:t>
            </w:r>
          </w:p>
        </w:tc>
        <w:tc>
          <w:tcPr>
            <w:tcW w:w="184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98.86%</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药学</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507</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501</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127</w:t>
            </w:r>
          </w:p>
        </w:tc>
        <w:tc>
          <w:tcPr>
            <w:tcW w:w="1842"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98.82%</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中药</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162</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158</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16</w:t>
            </w:r>
          </w:p>
        </w:tc>
        <w:tc>
          <w:tcPr>
            <w:tcW w:w="184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97.53%</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中医学</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102</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99</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14</w:t>
            </w:r>
          </w:p>
        </w:tc>
        <w:tc>
          <w:tcPr>
            <w:tcW w:w="1842"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97.06%</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临床医学</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677</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655</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71</w:t>
            </w:r>
          </w:p>
        </w:tc>
        <w:tc>
          <w:tcPr>
            <w:tcW w:w="184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96.75%</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护理</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1320</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1274</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38</w:t>
            </w:r>
          </w:p>
        </w:tc>
        <w:tc>
          <w:tcPr>
            <w:tcW w:w="1842"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96.52%</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PrEx>
        <w:trPr>
          <w:trHeight w:val="337" w:hRule="atLeast"/>
          <w:jc w:val="center"/>
        </w:trPr>
        <w:tc>
          <w:tcPr>
            <w:tcW w:w="2694"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医学影像技术</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108</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104</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15</w:t>
            </w:r>
          </w:p>
        </w:tc>
        <w:tc>
          <w:tcPr>
            <w:tcW w:w="184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96.30%</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医学检验技术</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378</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359</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39</w:t>
            </w:r>
          </w:p>
        </w:tc>
        <w:tc>
          <w:tcPr>
            <w:tcW w:w="1842"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94.97%</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药品经营与管理</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112</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106</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w:t>
            </w:r>
          </w:p>
        </w:tc>
        <w:tc>
          <w:tcPr>
            <w:tcW w:w="184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94.64%</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助产</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131</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122</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w:t>
            </w:r>
          </w:p>
        </w:tc>
        <w:tc>
          <w:tcPr>
            <w:tcW w:w="1842"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93.13%</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卫生检验与检疫技术</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55</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51</w:t>
            </w:r>
          </w:p>
        </w:tc>
        <w:tc>
          <w:tcPr>
            <w:tcW w:w="1701"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w:t>
            </w:r>
          </w:p>
        </w:tc>
        <w:tc>
          <w:tcPr>
            <w:tcW w:w="1842"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92.73%</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337" w:hRule="atLeast"/>
          <w:jc w:val="center"/>
        </w:trPr>
        <w:tc>
          <w:tcPr>
            <w:tcW w:w="2694" w:type="dxa"/>
            <w:tcBorders>
              <w:left w:val="single" w:color="FFFFFF" w:themeColor="background1" w:sz="8" w:space="0"/>
              <w:right w:val="single" w:color="FFFFFF" w:themeColor="background1" w:sz="24" w:space="0"/>
              <w:insideH w:val="nil"/>
              <w:insideV w:val="single" w:sz="24" w:space="0"/>
            </w:tcBorders>
            <w:shd w:val="clear" w:color="auto" w:fill="72A376" w:themeFill="accent1"/>
            <w:vAlign w:val="center"/>
          </w:tcPr>
          <w:p>
            <w:pPr>
              <w:spacing w:after="0" w:line="240" w:lineRule="auto"/>
              <w:jc w:val="center"/>
              <w:rPr>
                <w:rFonts w:ascii="宋体" w:hAnsi="宋体" w:eastAsia="宋体" w:cs="宋体"/>
                <w:b/>
                <w:bCs/>
                <w:i w:val="0"/>
                <w:iCs/>
                <w:color w:val="FFFFFF"/>
                <w:sz w:val="20"/>
                <w:szCs w:val="20"/>
              </w:rPr>
            </w:pPr>
            <w:r>
              <w:rPr>
                <w:rFonts w:hint="eastAsia"/>
                <w:b/>
                <w:bCs w:val="0"/>
                <w:i w:val="0"/>
                <w:iCs/>
                <w:color w:val="FFFFFF"/>
                <w:sz w:val="20"/>
                <w:szCs w:val="20"/>
              </w:rPr>
              <w:t>食品营养与检测</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39</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36</w:t>
            </w:r>
          </w:p>
        </w:tc>
        <w:tc>
          <w:tcPr>
            <w:tcW w:w="1701"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w:t>
            </w:r>
          </w:p>
        </w:tc>
        <w:tc>
          <w:tcPr>
            <w:tcW w:w="1842" w:type="dxa"/>
            <w:shd w:val="clear" w:color="auto" w:fill="DCE8DD" w:themeFill="accent1" w:themeFillTint="3F"/>
            <w:vAlign w:val="center"/>
          </w:tcPr>
          <w:p>
            <w:pPr>
              <w:spacing w:after="0" w:line="240" w:lineRule="auto"/>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92.31%</w:t>
            </w:r>
          </w:p>
        </w:tc>
      </w:tr>
    </w:tbl>
    <w:p>
      <w:pPr>
        <w:spacing w:line="360" w:lineRule="auto"/>
        <w:ind w:firstLine="420" w:firstLineChars="200"/>
      </w:pPr>
      <w:r>
        <w:rPr>
          <w:rFonts w:hint="eastAsia" w:ascii="宋体" w:hAnsi="宋体" w:eastAsia="宋体"/>
        </w:rPr>
        <w:t>注：就业率=（签就业协议形式就业人数+其他录用形式就业人数+升学+签劳动合同形式就业人数）÷毕业生总人数×100.00%。</w:t>
      </w:r>
    </w:p>
    <w:p>
      <w:pPr>
        <w:spacing w:before="156" w:beforeLines="50" w:line="500" w:lineRule="exact"/>
        <w:rPr>
          <w:rFonts w:ascii="宋体" w:hAnsi="宋体" w:eastAsia="宋体"/>
          <w:sz w:val="20"/>
          <w:szCs w:val="20"/>
        </w:rPr>
      </w:pPr>
      <w:bookmarkStart w:id="9" w:name="_Toc533510629"/>
      <w:r>
        <w:rPr>
          <w:rFonts w:hint="eastAsia" w:ascii="宋体" w:hAnsi="宋体" w:eastAsia="宋体"/>
          <w:sz w:val="20"/>
          <w:szCs w:val="20"/>
        </w:rPr>
        <w:t>数据来源：重庆市大学中专毕业生就业办公信息系统</w:t>
      </w:r>
    </w:p>
    <w:p>
      <w:pPr>
        <w:pStyle w:val="4"/>
      </w:pPr>
      <w:r>
        <w:rPr>
          <w:rFonts w:hint="eastAsia"/>
        </w:rPr>
        <w:t>（三）未就业分析</w:t>
      </w:r>
      <w:bookmarkEnd w:id="9"/>
    </w:p>
    <w:p>
      <w:pPr>
        <w:spacing w:before="156" w:beforeLines="50" w:line="500" w:lineRule="exact"/>
        <w:ind w:firstLine="560" w:firstLineChars="200"/>
        <w:rPr>
          <w:rFonts w:asciiTheme="minorEastAsia" w:hAnsiTheme="minorEastAsia"/>
          <w:sz w:val="28"/>
          <w:szCs w:val="28"/>
        </w:rPr>
      </w:pPr>
      <w:r>
        <w:rPr>
          <w:rFonts w:hint="eastAsia" w:asciiTheme="minorEastAsia" w:hAnsiTheme="minorEastAsia"/>
          <w:sz w:val="28"/>
          <w:szCs w:val="28"/>
        </w:rPr>
        <w:t>2018届未就业毕业生有127人（占2.91%），进一步调查其未就业的原因，主要为“正在择业尚未落实就业单位”占60.00%，其次为“暂时不就业”占15.38%，“等待单位签约”占11.54%。</w:t>
      </w:r>
    </w:p>
    <w:p>
      <w:pPr>
        <w:jc w:val="center"/>
      </w:pPr>
      <w:r>
        <w:drawing>
          <wp:inline distT="0" distB="0" distL="0" distR="0">
            <wp:extent cx="5480050" cy="2997200"/>
            <wp:effectExtent l="0" t="0" r="25400" b="12700"/>
            <wp:docPr id="301" name="图表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jc w:val="center"/>
        <w:rPr>
          <w:rFonts w:ascii="黑体" w:hAnsi="黑体" w:eastAsia="黑体"/>
        </w:rPr>
      </w:pPr>
      <w:r>
        <w:rPr>
          <w:rFonts w:hint="eastAsia" w:ascii="黑体" w:hAnsi="黑体" w:eastAsia="黑体"/>
        </w:rPr>
        <w:t>图1-3 2018届未就业原因分析</w:t>
      </w:r>
    </w:p>
    <w:p>
      <w:pPr>
        <w:rPr>
          <w:rFonts w:asciiTheme="minorEastAsia" w:hAnsiTheme="minorEastAsia"/>
        </w:rPr>
      </w:pPr>
      <w:r>
        <w:rPr>
          <w:rFonts w:hint="eastAsia" w:asciiTheme="minorEastAsia" w:hAnsiTheme="minorEastAsia"/>
        </w:rPr>
        <w:t>数据来源：第三方机构成都泽奥-2018届毕业生就业与培养质量调查</w:t>
      </w:r>
    </w:p>
    <w:p>
      <w:pPr>
        <w:pStyle w:val="3"/>
      </w:pPr>
      <w:bookmarkStart w:id="10" w:name="_Toc533510630"/>
      <w:r>
        <w:rPr>
          <w:rFonts w:hint="eastAsia"/>
        </w:rPr>
        <w:t>三、就业流向</w:t>
      </w:r>
      <w:bookmarkEnd w:id="10"/>
    </w:p>
    <w:p>
      <w:pPr>
        <w:spacing w:before="156" w:beforeLines="50" w:line="500" w:lineRule="exact"/>
        <w:rPr>
          <w:rFonts w:ascii="宋体" w:hAnsi="宋体" w:eastAsia="宋体"/>
          <w:sz w:val="28"/>
          <w:szCs w:val="28"/>
        </w:rPr>
      </w:pPr>
      <w:r>
        <w:rPr>
          <w:rFonts w:hint="eastAsia" w:ascii="宋体" w:hAnsi="宋体" w:eastAsia="宋体"/>
          <w:sz w:val="28"/>
          <w:szCs w:val="28"/>
        </w:rPr>
        <w:t>（一）就业地区分布</w:t>
      </w:r>
    </w:p>
    <w:p>
      <w:pPr>
        <w:spacing w:before="156" w:beforeLines="50" w:line="500" w:lineRule="exact"/>
        <w:ind w:firstLine="562" w:firstLineChars="200"/>
        <w:rPr>
          <w:rFonts w:asciiTheme="minorEastAsia" w:hAnsiTheme="minorEastAsia"/>
          <w:sz w:val="28"/>
          <w:szCs w:val="28"/>
        </w:rPr>
      </w:pPr>
      <w:r>
        <w:rPr>
          <w:rFonts w:hint="eastAsia" w:asciiTheme="minorEastAsia" w:hAnsiTheme="minorEastAsia"/>
          <w:b/>
          <w:sz w:val="28"/>
          <w:szCs w:val="28"/>
        </w:rPr>
        <w:t>就业区域分布：</w:t>
      </w:r>
      <w:r>
        <w:rPr>
          <w:rFonts w:hint="eastAsia" w:asciiTheme="minorEastAsia" w:hAnsiTheme="minorEastAsia"/>
          <w:sz w:val="28"/>
          <w:szCs w:val="28"/>
        </w:rPr>
        <w:t>2018届毕业生主要选择重庆市内就业（85.55%），服务地方经济发展，市外就业人数较多的地区为四川省（6.82%）。主要区域就业情况如下图所示</w:t>
      </w:r>
    </w:p>
    <w:p>
      <w:pPr>
        <w:jc w:val="center"/>
      </w:pPr>
      <w:r>
        <w:drawing>
          <wp:inline distT="0" distB="0" distL="0" distR="0">
            <wp:extent cx="5280660" cy="2988310"/>
            <wp:effectExtent l="0" t="0" r="15240" b="2159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jc w:val="center"/>
        <w:rPr>
          <w:rFonts w:ascii="黑体" w:hAnsi="黑体" w:eastAsia="黑体"/>
        </w:rPr>
      </w:pPr>
      <w:r>
        <w:rPr>
          <w:rFonts w:hint="eastAsia" w:ascii="黑体" w:hAnsi="黑体" w:eastAsia="黑体"/>
        </w:rPr>
        <w:t>图1-4 2018届就业地区分布</w:t>
      </w:r>
    </w:p>
    <w:p>
      <w:pPr>
        <w:spacing w:before="156" w:beforeLines="50" w:line="500" w:lineRule="exact"/>
        <w:rPr>
          <w:rFonts w:ascii="宋体" w:hAnsi="宋体" w:eastAsia="宋体"/>
          <w:sz w:val="20"/>
          <w:szCs w:val="20"/>
        </w:rPr>
      </w:pPr>
      <w:r>
        <w:rPr>
          <w:rFonts w:hint="eastAsia" w:ascii="宋体" w:hAnsi="宋体" w:eastAsia="宋体"/>
          <w:sz w:val="20"/>
          <w:szCs w:val="20"/>
        </w:rPr>
        <w:t>数据来源：重庆市大学中专毕业生就业办公信息系统</w:t>
      </w:r>
    </w:p>
    <w:p>
      <w:pPr>
        <w:spacing w:before="156" w:beforeLines="50" w:line="500" w:lineRule="exact"/>
        <w:ind w:firstLine="554" w:firstLineChars="198"/>
        <w:rPr>
          <w:rFonts w:ascii="宋体" w:hAnsi="宋体" w:eastAsia="宋体"/>
          <w:b/>
          <w:sz w:val="28"/>
          <w:szCs w:val="28"/>
        </w:rPr>
      </w:pPr>
      <w:r>
        <w:rPr>
          <w:sz w:val="28"/>
          <w:szCs w:val="28"/>
        </w:rPr>
        <mc:AlternateContent>
          <mc:Choice Requires="wps">
            <w:drawing>
              <wp:anchor distT="0" distB="0" distL="114300" distR="114300" simplePos="0" relativeHeight="251708416" behindDoc="0" locked="0" layoutInCell="1" allowOverlap="1">
                <wp:simplePos x="0" y="0"/>
                <wp:positionH relativeFrom="column">
                  <wp:posOffset>1111885</wp:posOffset>
                </wp:positionH>
                <wp:positionV relativeFrom="paragraph">
                  <wp:posOffset>2062480</wp:posOffset>
                </wp:positionV>
                <wp:extent cx="874395" cy="1403985"/>
                <wp:effectExtent l="0" t="0" r="0" b="0"/>
                <wp:wrapNone/>
                <wp:docPr id="3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74395" cy="1403985"/>
                        </a:xfrm>
                        <a:prstGeom prst="rect">
                          <a:avLst/>
                        </a:prstGeom>
                        <a:noFill/>
                        <a:ln w="9525">
                          <a:noFill/>
                          <a:miter lim="800000"/>
                        </a:ln>
                      </wps:spPr>
                      <wps:txbx>
                        <w:txbxContent>
                          <w:p>
                            <w:pPr>
                              <w:rPr>
                                <w:b/>
                                <w:sz w:val="22"/>
                                <w:szCs w:val="22"/>
                              </w:rPr>
                            </w:pPr>
                            <w:r>
                              <w:rPr>
                                <w:rFonts w:hint="eastAsia"/>
                                <w:b/>
                                <w:sz w:val="22"/>
                                <w:szCs w:val="22"/>
                              </w:rPr>
                              <w:t>市内生源</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87.55pt;margin-top:162.4pt;height:110.55pt;width:68.85pt;z-index:251708416;mso-width-relative:page;mso-height-relative:margin;mso-height-percent:200;" filled="f" stroked="f" coordsize="21600,21600" o:gfxdata="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Ni/jYAAAACwEAAA8AAAAAAAAAAQAgAAAA&#10;IgAAAGRycy9kb3ducmV2LnhtbFBLAQIUABQAAAAIAIdO4kCEQFumCwIAAN0DAAAOAAAAAAAAAAEA&#10;IAAAACcBAABkcnMvZTJvRG9jLnhtbFBLBQYAAAAABgAGAFkBAACkBQAAAAA=&#10;">
                <v:fill on="f" focussize="0,0"/>
                <v:stroke on="f" miterlimit="8" joinstyle="miter"/>
                <v:imagedata o:title=""/>
                <o:lock v:ext="edit" aspectratio="f"/>
                <v:textbox style="mso-fit-shape-to-text:t;">
                  <w:txbxContent>
                    <w:p>
                      <w:pPr>
                        <w:rPr>
                          <w:b/>
                          <w:sz w:val="22"/>
                          <w:szCs w:val="22"/>
                        </w:rPr>
                      </w:pPr>
                      <w:r>
                        <w:rPr>
                          <w:rFonts w:hint="eastAsia"/>
                          <w:b/>
                          <w:sz w:val="22"/>
                          <w:szCs w:val="22"/>
                        </w:rPr>
                        <w:t>市内生源</w:t>
                      </w:r>
                    </w:p>
                  </w:txbxContent>
                </v:textbox>
              </v:shape>
            </w:pict>
          </mc:Fallback>
        </mc:AlternateContent>
      </w:r>
      <w:r>
        <w:rPr>
          <w:rFonts w:hint="eastAsia" w:ascii="宋体" w:hAnsi="宋体" w:eastAsia="宋体"/>
          <w:b/>
          <w:sz w:val="28"/>
          <w:szCs w:val="28"/>
        </w:rPr>
        <w:t>生源地与就业地域交叉分析：</w:t>
      </w:r>
      <w:r>
        <w:rPr>
          <w:sz w:val="28"/>
          <w:szCs w:val="28"/>
        </w:rPr>
        <w:drawing>
          <wp:anchor distT="0" distB="0" distL="114300" distR="114300" simplePos="0" relativeHeight="251695104" behindDoc="0" locked="0" layoutInCell="1" allowOverlap="1">
            <wp:simplePos x="0" y="0"/>
            <wp:positionH relativeFrom="column">
              <wp:posOffset>3126740</wp:posOffset>
            </wp:positionH>
            <wp:positionV relativeFrom="paragraph">
              <wp:posOffset>1261745</wp:posOffset>
            </wp:positionV>
            <wp:extent cx="2822575" cy="1927860"/>
            <wp:effectExtent l="0" t="0" r="15875" b="15240"/>
            <wp:wrapTopAndBottom/>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宋体" w:hAnsi="宋体" w:eastAsia="宋体"/>
          <w:sz w:val="28"/>
          <w:szCs w:val="28"/>
        </w:rPr>
        <w:t>市内生源中，99.48%的学生选择留在重庆地区工作；97.61%的市外生源选择回生源地就业，1.65%的市外生源也优先考虑在重庆地区就业，另有0.73%的学生去其他省份就业。</w:t>
      </w:r>
    </w:p>
    <w:p>
      <w:pPr>
        <w:spacing w:before="156" w:beforeLines="50" w:line="500" w:lineRule="exact"/>
        <w:jc w:val="center"/>
        <w:rPr>
          <w:rFonts w:ascii="黑体" w:hAnsi="黑体" w:eastAsia="黑体"/>
        </w:rPr>
      </w:pPr>
      <w:r>
        <w:rPr>
          <w:sz w:val="28"/>
          <w:szCs w:val="28"/>
        </w:rPr>
        <w:drawing>
          <wp:anchor distT="0" distB="0" distL="114300" distR="114300" simplePos="0" relativeHeight="251696128" behindDoc="0" locked="0" layoutInCell="1" allowOverlap="1">
            <wp:simplePos x="0" y="0"/>
            <wp:positionH relativeFrom="column">
              <wp:posOffset>-3175</wp:posOffset>
            </wp:positionH>
            <wp:positionV relativeFrom="paragraph">
              <wp:posOffset>183515</wp:posOffset>
            </wp:positionV>
            <wp:extent cx="3041015" cy="1927860"/>
            <wp:effectExtent l="0" t="0" r="26035" b="15240"/>
            <wp:wrapNone/>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hint="eastAsia" w:ascii="黑体" w:hAnsi="黑体" w:eastAsia="黑体"/>
        </w:rPr>
        <w:t>图</w:t>
      </w:r>
      <w:r>
        <w:rPr>
          <w:rFonts w:ascii="黑体" w:hAnsi="黑体" w:eastAsia="黑体" w:cs="Times New Roman"/>
          <w:bCs/>
        </w:rPr>
        <w:t>1-</w:t>
      </w:r>
      <w:r>
        <w:rPr>
          <w:rFonts w:hint="eastAsia" w:ascii="黑体" w:hAnsi="黑体" w:eastAsia="黑体" w:cs="Times New Roman"/>
          <w:bCs/>
        </w:rPr>
        <w:t>5</w:t>
      </w:r>
      <w:r>
        <w:rPr>
          <w:rFonts w:ascii="黑体" w:hAnsi="黑体" w:eastAsia="黑体" w:cs="Times New Roman"/>
          <w:bCs/>
        </w:rPr>
        <w:t xml:space="preserve"> 201</w:t>
      </w:r>
      <w:r>
        <w:rPr>
          <w:rFonts w:hint="eastAsia" w:ascii="黑体" w:hAnsi="黑体" w:eastAsia="黑体" w:cs="Times New Roman"/>
          <w:bCs/>
        </w:rPr>
        <w:t>8</w:t>
      </w:r>
      <w:r>
        <w:rPr>
          <w:rFonts w:hint="eastAsia" w:ascii="黑体" w:hAnsi="黑体" w:eastAsia="黑体"/>
        </w:rPr>
        <w:t>届毕业生就业地区分布</w:t>
      </w:r>
    </w:p>
    <w:p>
      <w:pPr>
        <w:spacing w:before="156" w:beforeLines="50" w:line="500" w:lineRule="exact"/>
        <w:rPr>
          <w:rFonts w:ascii="宋体" w:hAnsi="宋体" w:eastAsia="宋体"/>
          <w:sz w:val="20"/>
          <w:szCs w:val="20"/>
        </w:rPr>
      </w:pPr>
      <w:r>
        <w:rPr>
          <w:rFonts w:hint="eastAsia" w:ascii="宋体" w:hAnsi="宋体" w:eastAsia="宋体"/>
          <w:sz w:val="20"/>
          <w:szCs w:val="20"/>
        </w:rPr>
        <w:t>数据来源：重庆市大学中专毕业生就业办公信息系统</w:t>
      </w:r>
    </w:p>
    <w:p>
      <w:pPr>
        <w:spacing w:before="156" w:beforeLines="50" w:line="500" w:lineRule="exact"/>
        <w:rPr>
          <w:rFonts w:ascii="宋体" w:hAnsi="宋体" w:eastAsia="宋体"/>
          <w:sz w:val="28"/>
          <w:szCs w:val="28"/>
        </w:rPr>
      </w:pPr>
      <w:r>
        <w:rPr>
          <w:rFonts w:hint="eastAsia" w:ascii="宋体" w:hAnsi="宋体" w:eastAsia="宋体"/>
          <w:sz w:val="28"/>
          <w:szCs w:val="28"/>
        </w:rPr>
        <w:t>（二）就业行业分布</w:t>
      </w:r>
    </w:p>
    <w:p>
      <w:pPr>
        <w:spacing w:before="156" w:beforeLines="50" w:line="500" w:lineRule="exact"/>
        <w:ind w:firstLine="560" w:firstLineChars="200"/>
        <w:rPr>
          <w:rFonts w:ascii="宋体" w:hAnsi="宋体" w:eastAsia="宋体"/>
          <w:sz w:val="28"/>
          <w:szCs w:val="28"/>
        </w:rPr>
      </w:pPr>
      <w:r>
        <w:rPr>
          <w:rFonts w:hint="eastAsia" w:ascii="宋体" w:hAnsi="宋体" w:eastAsia="宋体"/>
          <w:sz w:val="28"/>
          <w:szCs w:val="28"/>
        </w:rPr>
        <w:t>2018届毕业生就业单位行业主要集中在卫生和社会工作（51.18%）、批发/零售业（40.59%）</w:t>
      </w:r>
    </w:p>
    <w:p>
      <w:pPr>
        <w:spacing w:before="156" w:beforeLines="50" w:line="500" w:lineRule="exact"/>
        <w:jc w:val="center"/>
        <w:rPr>
          <w:rFonts w:ascii="黑体" w:hAnsi="黑体" w:eastAsia="黑体"/>
          <w:sz w:val="24"/>
          <w:szCs w:val="24"/>
        </w:rPr>
      </w:pPr>
      <w:r>
        <w:rPr>
          <w:rFonts w:hint="eastAsia" w:ascii="黑体" w:hAnsi="黑体" w:eastAsia="黑体"/>
        </w:rPr>
        <w:t>表</w:t>
      </w:r>
      <w:r>
        <w:rPr>
          <w:rFonts w:ascii="黑体" w:hAnsi="黑体" w:eastAsia="黑体" w:cs="Times New Roman"/>
          <w:bCs/>
        </w:rPr>
        <w:t>1-</w:t>
      </w:r>
      <w:r>
        <w:rPr>
          <w:rFonts w:hint="eastAsia" w:ascii="黑体" w:hAnsi="黑体" w:eastAsia="黑体" w:cs="Times New Roman"/>
          <w:bCs/>
        </w:rPr>
        <w:t xml:space="preserve">5 </w:t>
      </w:r>
      <w:r>
        <w:rPr>
          <w:rFonts w:ascii="黑体" w:hAnsi="黑体" w:eastAsia="黑体" w:cs="Times New Roman"/>
          <w:bCs/>
        </w:rPr>
        <w:t>201</w:t>
      </w:r>
      <w:r>
        <w:rPr>
          <w:rFonts w:hint="eastAsia" w:ascii="黑体" w:hAnsi="黑体" w:eastAsia="黑体" w:cs="Times New Roman"/>
          <w:bCs/>
        </w:rPr>
        <w:t>8</w:t>
      </w:r>
      <w:r>
        <w:rPr>
          <w:rFonts w:hint="eastAsia" w:ascii="黑体" w:hAnsi="黑体" w:eastAsia="黑体"/>
        </w:rPr>
        <w:t>届毕业生就业行业分布</w:t>
      </w:r>
    </w:p>
    <w:tbl>
      <w:tblPr>
        <w:tblStyle w:val="31"/>
        <w:tblW w:w="9639" w:type="dxa"/>
        <w:tblInd w:w="0" w:type="dxa"/>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83"/>
        <w:gridCol w:w="3160"/>
        <w:gridCol w:w="2896"/>
      </w:tblGrid>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4" w:hRule="atLeast"/>
        </w:trPr>
        <w:tc>
          <w:tcPr>
            <w:tcW w:w="3583" w:type="dxa"/>
            <w:tcBorders>
              <w:top w:val="single" w:color="72A376" w:themeColor="accent1" w:sz="8" w:space="0"/>
              <w:left w:val="nil"/>
              <w:bottom w:val="single" w:color="72A376" w:themeColor="accent1" w:sz="8" w:space="0"/>
              <w:right w:val="nil"/>
              <w:insideH w:val="single" w:sz="8" w:space="0"/>
              <w:insideV w:val="nil"/>
            </w:tcBorders>
            <w:shd w:val="clear" w:color="auto" w:fill="76A676" w:themeFill="accent2" w:themeFillShade="BF"/>
          </w:tcPr>
          <w:p>
            <w:pPr>
              <w:spacing w:before="0" w:after="0" w:line="240" w:lineRule="auto"/>
              <w:jc w:val="center"/>
              <w:rPr>
                <w:rFonts w:ascii="宋体" w:hAnsi="宋体" w:eastAsia="宋体" w:cs="宋体"/>
                <w:b/>
                <w:bCs w:val="0"/>
                <w:color w:val="FFFFFF" w:themeColor="background1"/>
                <w:sz w:val="24"/>
                <w:szCs w:val="24"/>
                <w14:textFill>
                  <w14:solidFill>
                    <w14:schemeClr w14:val="bg1"/>
                  </w14:solidFill>
                </w14:textFill>
              </w:rPr>
            </w:pPr>
            <w:r>
              <w:rPr>
                <w:rFonts w:hint="eastAsia" w:ascii="宋体" w:hAnsi="宋体" w:eastAsia="宋体" w:cs="宋体"/>
                <w:b/>
                <w:bCs w:val="0"/>
                <w:color w:val="FFFFFF" w:themeColor="background1"/>
                <w:sz w:val="24"/>
                <w:szCs w:val="24"/>
                <w14:textFill>
                  <w14:solidFill>
                    <w14:schemeClr w14:val="bg1"/>
                  </w14:solidFill>
                </w14:textFill>
              </w:rPr>
              <w:t>行业</w:t>
            </w:r>
          </w:p>
        </w:tc>
        <w:tc>
          <w:tcPr>
            <w:tcW w:w="3160" w:type="dxa"/>
            <w:tcBorders>
              <w:top w:val="single" w:color="72A376" w:themeColor="accent1" w:sz="8" w:space="0"/>
              <w:bottom w:val="single" w:color="72A376" w:themeColor="accent1" w:sz="8" w:space="0"/>
              <w:right w:val="nil"/>
              <w:insideH w:val="single" w:sz="8" w:space="0"/>
              <w:insideV w:val="nil"/>
            </w:tcBorders>
            <w:shd w:val="clear" w:color="auto" w:fill="76A676" w:themeFill="accent2" w:themeFillShade="BF"/>
          </w:tcPr>
          <w:p>
            <w:pPr>
              <w:spacing w:before="0" w:after="0" w:line="240" w:lineRule="auto"/>
              <w:jc w:val="center"/>
              <w:rPr>
                <w:rFonts w:ascii="宋体" w:hAnsi="宋体" w:eastAsia="宋体" w:cs="宋体"/>
                <w:b/>
                <w:bCs w:val="0"/>
                <w:color w:val="FFFFFF" w:themeColor="background1"/>
                <w:sz w:val="24"/>
                <w:szCs w:val="24"/>
                <w14:textFill>
                  <w14:solidFill>
                    <w14:schemeClr w14:val="bg1"/>
                  </w14:solidFill>
                </w14:textFill>
              </w:rPr>
            </w:pPr>
            <w:r>
              <w:rPr>
                <w:rFonts w:hint="eastAsia" w:ascii="宋体" w:hAnsi="宋体" w:eastAsia="宋体" w:cs="宋体"/>
                <w:b/>
                <w:bCs w:val="0"/>
                <w:color w:val="FFFFFF" w:themeColor="background1"/>
                <w:sz w:val="24"/>
                <w:szCs w:val="24"/>
                <w14:textFill>
                  <w14:solidFill>
                    <w14:schemeClr w14:val="bg1"/>
                  </w14:solidFill>
                </w14:textFill>
              </w:rPr>
              <w:t>人数</w:t>
            </w:r>
          </w:p>
        </w:tc>
        <w:tc>
          <w:tcPr>
            <w:tcW w:w="2896" w:type="dxa"/>
            <w:tcBorders>
              <w:top w:val="single" w:color="72A376" w:themeColor="accent1" w:sz="8" w:space="0"/>
              <w:bottom w:val="single" w:color="72A376" w:themeColor="accent1" w:sz="8" w:space="0"/>
              <w:right w:val="nil"/>
              <w:insideH w:val="single" w:sz="8" w:space="0"/>
              <w:insideV w:val="nil"/>
            </w:tcBorders>
            <w:shd w:val="clear" w:color="auto" w:fill="76A676" w:themeFill="accent2" w:themeFillShade="BF"/>
          </w:tcPr>
          <w:p>
            <w:pPr>
              <w:spacing w:before="0" w:after="0" w:line="240" w:lineRule="auto"/>
              <w:jc w:val="center"/>
              <w:rPr>
                <w:rFonts w:ascii="宋体" w:hAnsi="宋体" w:eastAsia="宋体" w:cs="宋体"/>
                <w:b/>
                <w:bCs w:val="0"/>
                <w:color w:val="FFFFFF" w:themeColor="background1"/>
                <w:sz w:val="24"/>
                <w:szCs w:val="24"/>
                <w14:textFill>
                  <w14:solidFill>
                    <w14:schemeClr w14:val="bg1"/>
                  </w14:solidFill>
                </w14:textFill>
              </w:rPr>
            </w:pPr>
            <w:r>
              <w:rPr>
                <w:rFonts w:hint="eastAsia" w:ascii="宋体" w:hAnsi="宋体" w:eastAsia="宋体" w:cs="宋体"/>
                <w:b/>
                <w:bCs w:val="0"/>
                <w:color w:val="FFFFFF" w:themeColor="background1"/>
                <w:sz w:val="24"/>
                <w:szCs w:val="24"/>
                <w14:textFill>
                  <w14:solidFill>
                    <w14:schemeClr w14:val="bg1"/>
                  </w14:solidFill>
                </w14:textFill>
              </w:rPr>
              <w:t>百分比</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4" w:hRule="atLeast"/>
        </w:trPr>
        <w:tc>
          <w:tcPr>
            <w:tcW w:w="3583" w:type="dxa"/>
            <w:tcBorders>
              <w:left w:val="nil"/>
              <w:right w:val="nil"/>
              <w:insideV w:val="nil"/>
            </w:tcBorders>
            <w:shd w:val="clear" w:color="auto" w:fill="DCE8DD" w:themeFill="accent1" w:themeFillTint="3F"/>
          </w:tcPr>
          <w:p>
            <w:pPr>
              <w:spacing w:after="0" w:line="240" w:lineRule="auto"/>
              <w:jc w:val="center"/>
              <w:rPr>
                <w:rFonts w:ascii="宋体" w:hAnsi="宋体" w:eastAsia="宋体" w:cs="宋体"/>
                <w:b w:val="0"/>
                <w:bCs/>
                <w:color w:val="000000"/>
                <w:sz w:val="20"/>
                <w:szCs w:val="20"/>
              </w:rPr>
            </w:pPr>
            <w:r>
              <w:rPr>
                <w:rFonts w:hint="eastAsia" w:ascii="宋体" w:hAnsi="宋体" w:eastAsia="宋体" w:cs="宋体"/>
                <w:b w:val="0"/>
                <w:bCs/>
                <w:color w:val="000000"/>
                <w:sz w:val="20"/>
                <w:szCs w:val="20"/>
              </w:rPr>
              <w:t>卫生和社会工作</w:t>
            </w:r>
          </w:p>
        </w:tc>
        <w:tc>
          <w:tcPr>
            <w:tcW w:w="3160" w:type="dxa"/>
            <w:tcBorders>
              <w:right w:val="nil"/>
              <w:insideV w:val="nil"/>
            </w:tcBorders>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1958</w:t>
            </w:r>
          </w:p>
        </w:tc>
        <w:tc>
          <w:tcPr>
            <w:tcW w:w="2896" w:type="dxa"/>
            <w:tcBorders>
              <w:right w:val="nil"/>
              <w:insideV w:val="nil"/>
            </w:tcBorders>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51.18%</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4" w:hRule="atLeast"/>
        </w:trPr>
        <w:tc>
          <w:tcPr>
            <w:tcW w:w="3583" w:type="dxa"/>
          </w:tcPr>
          <w:p>
            <w:pPr>
              <w:spacing w:after="0" w:line="240" w:lineRule="auto"/>
              <w:jc w:val="center"/>
              <w:rPr>
                <w:rFonts w:ascii="宋体" w:hAnsi="宋体" w:eastAsia="宋体" w:cs="宋体"/>
                <w:b w:val="0"/>
                <w:bCs/>
                <w:color w:val="000000"/>
                <w:sz w:val="20"/>
                <w:szCs w:val="20"/>
              </w:rPr>
            </w:pPr>
            <w:r>
              <w:rPr>
                <w:rFonts w:hint="eastAsia" w:ascii="宋体" w:hAnsi="宋体" w:eastAsia="宋体" w:cs="宋体"/>
                <w:b w:val="0"/>
                <w:bCs/>
                <w:color w:val="000000"/>
                <w:sz w:val="20"/>
                <w:szCs w:val="20"/>
              </w:rPr>
              <w:t>批发和零售业</w:t>
            </w:r>
          </w:p>
        </w:tc>
        <w:tc>
          <w:tcPr>
            <w:tcW w:w="3160" w:type="dxa"/>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1553</w:t>
            </w:r>
          </w:p>
        </w:tc>
        <w:tc>
          <w:tcPr>
            <w:tcW w:w="2896" w:type="dxa"/>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40.59%</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4" w:hRule="atLeast"/>
        </w:trPr>
        <w:tc>
          <w:tcPr>
            <w:tcW w:w="3583" w:type="dxa"/>
            <w:tcBorders>
              <w:left w:val="nil"/>
              <w:right w:val="nil"/>
              <w:insideV w:val="nil"/>
            </w:tcBorders>
            <w:shd w:val="clear" w:color="auto" w:fill="DCE8DD" w:themeFill="accent1" w:themeFillTint="3F"/>
          </w:tcPr>
          <w:p>
            <w:pPr>
              <w:spacing w:after="0" w:line="240" w:lineRule="auto"/>
              <w:jc w:val="center"/>
              <w:rPr>
                <w:rFonts w:ascii="宋体" w:hAnsi="宋体" w:eastAsia="宋体" w:cs="宋体"/>
                <w:b w:val="0"/>
                <w:bCs/>
                <w:color w:val="000000"/>
                <w:sz w:val="20"/>
                <w:szCs w:val="20"/>
              </w:rPr>
            </w:pPr>
            <w:r>
              <w:rPr>
                <w:rFonts w:hint="eastAsia" w:ascii="宋体" w:hAnsi="宋体" w:eastAsia="宋体" w:cs="宋体"/>
                <w:b w:val="0"/>
                <w:bCs/>
                <w:color w:val="000000"/>
                <w:sz w:val="20"/>
                <w:szCs w:val="20"/>
              </w:rPr>
              <w:t>居民服务、修理和其他服务业</w:t>
            </w:r>
          </w:p>
        </w:tc>
        <w:tc>
          <w:tcPr>
            <w:tcW w:w="3160" w:type="dxa"/>
            <w:tcBorders>
              <w:right w:val="nil"/>
              <w:insideV w:val="nil"/>
            </w:tcBorders>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196</w:t>
            </w:r>
          </w:p>
        </w:tc>
        <w:tc>
          <w:tcPr>
            <w:tcW w:w="2896" w:type="dxa"/>
            <w:tcBorders>
              <w:right w:val="nil"/>
              <w:insideV w:val="nil"/>
            </w:tcBorders>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5.12%</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4" w:hRule="atLeast"/>
        </w:trPr>
        <w:tc>
          <w:tcPr>
            <w:tcW w:w="3583" w:type="dxa"/>
          </w:tcPr>
          <w:p>
            <w:pPr>
              <w:spacing w:after="0" w:line="240" w:lineRule="auto"/>
              <w:jc w:val="center"/>
              <w:rPr>
                <w:rFonts w:ascii="宋体" w:hAnsi="宋体" w:eastAsia="宋体" w:cs="宋体"/>
                <w:b w:val="0"/>
                <w:bCs/>
                <w:color w:val="000000"/>
                <w:sz w:val="20"/>
                <w:szCs w:val="20"/>
              </w:rPr>
            </w:pPr>
            <w:r>
              <w:rPr>
                <w:rFonts w:hint="eastAsia" w:ascii="宋体" w:hAnsi="宋体" w:eastAsia="宋体" w:cs="宋体"/>
                <w:b w:val="0"/>
                <w:bCs/>
                <w:color w:val="000000"/>
                <w:sz w:val="20"/>
                <w:szCs w:val="20"/>
              </w:rPr>
              <w:t>军队</w:t>
            </w:r>
          </w:p>
        </w:tc>
        <w:tc>
          <w:tcPr>
            <w:tcW w:w="3160" w:type="dxa"/>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95</w:t>
            </w:r>
          </w:p>
        </w:tc>
        <w:tc>
          <w:tcPr>
            <w:tcW w:w="2896" w:type="dxa"/>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2.48%</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PrEx>
        <w:trPr>
          <w:trHeight w:val="314" w:hRule="atLeast"/>
        </w:trPr>
        <w:tc>
          <w:tcPr>
            <w:tcW w:w="3583" w:type="dxa"/>
            <w:tcBorders>
              <w:left w:val="nil"/>
              <w:right w:val="nil"/>
              <w:insideV w:val="nil"/>
            </w:tcBorders>
            <w:shd w:val="clear" w:color="auto" w:fill="DCE8DD" w:themeFill="accent1" w:themeFillTint="3F"/>
          </w:tcPr>
          <w:p>
            <w:pPr>
              <w:spacing w:after="0" w:line="240" w:lineRule="auto"/>
              <w:jc w:val="center"/>
              <w:rPr>
                <w:rFonts w:ascii="宋体" w:hAnsi="宋体" w:eastAsia="宋体" w:cs="宋体"/>
                <w:b w:val="0"/>
                <w:bCs/>
                <w:color w:val="000000"/>
                <w:sz w:val="20"/>
                <w:szCs w:val="20"/>
              </w:rPr>
            </w:pPr>
            <w:r>
              <w:rPr>
                <w:rFonts w:hint="eastAsia" w:ascii="宋体" w:hAnsi="宋体" w:eastAsia="宋体" w:cs="宋体"/>
                <w:b w:val="0"/>
                <w:bCs/>
                <w:color w:val="000000"/>
                <w:sz w:val="20"/>
                <w:szCs w:val="20"/>
              </w:rPr>
              <w:t>文化、体育和娱乐业</w:t>
            </w:r>
          </w:p>
        </w:tc>
        <w:tc>
          <w:tcPr>
            <w:tcW w:w="3160" w:type="dxa"/>
            <w:tcBorders>
              <w:right w:val="nil"/>
              <w:insideV w:val="nil"/>
            </w:tcBorders>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6</w:t>
            </w:r>
          </w:p>
        </w:tc>
        <w:tc>
          <w:tcPr>
            <w:tcW w:w="2896" w:type="dxa"/>
            <w:tcBorders>
              <w:right w:val="nil"/>
              <w:insideV w:val="nil"/>
            </w:tcBorders>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0.16%</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4" w:hRule="atLeast"/>
        </w:trPr>
        <w:tc>
          <w:tcPr>
            <w:tcW w:w="3583" w:type="dxa"/>
          </w:tcPr>
          <w:p>
            <w:pPr>
              <w:spacing w:after="0" w:line="240" w:lineRule="auto"/>
              <w:jc w:val="center"/>
              <w:rPr>
                <w:rFonts w:ascii="宋体" w:hAnsi="宋体" w:eastAsia="宋体" w:cs="宋体"/>
                <w:b w:val="0"/>
                <w:bCs/>
                <w:color w:val="000000"/>
                <w:sz w:val="20"/>
                <w:szCs w:val="20"/>
              </w:rPr>
            </w:pPr>
            <w:r>
              <w:rPr>
                <w:rFonts w:hint="eastAsia" w:ascii="宋体" w:hAnsi="宋体" w:eastAsia="宋体" w:cs="宋体"/>
                <w:b w:val="0"/>
                <w:bCs/>
                <w:color w:val="000000"/>
                <w:sz w:val="20"/>
                <w:szCs w:val="20"/>
              </w:rPr>
              <w:t>教育</w:t>
            </w:r>
          </w:p>
        </w:tc>
        <w:tc>
          <w:tcPr>
            <w:tcW w:w="3160" w:type="dxa"/>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5</w:t>
            </w:r>
          </w:p>
        </w:tc>
        <w:tc>
          <w:tcPr>
            <w:tcW w:w="2896" w:type="dxa"/>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0.13%</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4" w:hRule="atLeast"/>
        </w:trPr>
        <w:tc>
          <w:tcPr>
            <w:tcW w:w="3583" w:type="dxa"/>
            <w:tcBorders>
              <w:left w:val="nil"/>
              <w:right w:val="nil"/>
              <w:insideV w:val="nil"/>
            </w:tcBorders>
            <w:shd w:val="clear" w:color="auto" w:fill="DCE8DD" w:themeFill="accent1" w:themeFillTint="3F"/>
          </w:tcPr>
          <w:p>
            <w:pPr>
              <w:spacing w:after="0" w:line="240" w:lineRule="auto"/>
              <w:jc w:val="center"/>
              <w:rPr>
                <w:rFonts w:ascii="宋体" w:hAnsi="宋体" w:eastAsia="宋体" w:cs="宋体"/>
                <w:b w:val="0"/>
                <w:bCs/>
                <w:color w:val="000000"/>
                <w:sz w:val="20"/>
                <w:szCs w:val="20"/>
              </w:rPr>
            </w:pPr>
            <w:r>
              <w:rPr>
                <w:rFonts w:hint="eastAsia" w:ascii="宋体" w:hAnsi="宋体" w:eastAsia="宋体" w:cs="宋体"/>
                <w:b w:val="0"/>
                <w:bCs/>
                <w:color w:val="000000"/>
                <w:sz w:val="20"/>
                <w:szCs w:val="20"/>
              </w:rPr>
              <w:t>交通运输、仓储和邮政业</w:t>
            </w:r>
          </w:p>
        </w:tc>
        <w:tc>
          <w:tcPr>
            <w:tcW w:w="3160" w:type="dxa"/>
            <w:tcBorders>
              <w:right w:val="nil"/>
              <w:insideV w:val="nil"/>
            </w:tcBorders>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3</w:t>
            </w:r>
          </w:p>
        </w:tc>
        <w:tc>
          <w:tcPr>
            <w:tcW w:w="2896" w:type="dxa"/>
            <w:tcBorders>
              <w:right w:val="nil"/>
              <w:insideV w:val="nil"/>
            </w:tcBorders>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0.08%</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4" w:hRule="atLeast"/>
        </w:trPr>
        <w:tc>
          <w:tcPr>
            <w:tcW w:w="3583" w:type="dxa"/>
          </w:tcPr>
          <w:p>
            <w:pPr>
              <w:spacing w:after="0" w:line="240" w:lineRule="auto"/>
              <w:jc w:val="center"/>
              <w:rPr>
                <w:rFonts w:ascii="宋体" w:hAnsi="宋体" w:eastAsia="宋体" w:cs="宋体"/>
                <w:b w:val="0"/>
                <w:bCs/>
                <w:color w:val="000000"/>
                <w:sz w:val="20"/>
                <w:szCs w:val="20"/>
              </w:rPr>
            </w:pPr>
            <w:r>
              <w:rPr>
                <w:rFonts w:hint="eastAsia" w:ascii="宋体" w:hAnsi="宋体" w:eastAsia="宋体" w:cs="宋体"/>
                <w:b w:val="0"/>
                <w:bCs/>
                <w:color w:val="000000"/>
                <w:sz w:val="20"/>
                <w:szCs w:val="20"/>
              </w:rPr>
              <w:t>建筑业</w:t>
            </w:r>
          </w:p>
        </w:tc>
        <w:tc>
          <w:tcPr>
            <w:tcW w:w="3160" w:type="dxa"/>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896" w:type="dxa"/>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0.05%</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4" w:hRule="atLeast"/>
        </w:trPr>
        <w:tc>
          <w:tcPr>
            <w:tcW w:w="3583" w:type="dxa"/>
            <w:tcBorders>
              <w:left w:val="nil"/>
              <w:right w:val="nil"/>
              <w:insideV w:val="nil"/>
            </w:tcBorders>
            <w:shd w:val="clear" w:color="auto" w:fill="DCE8DD" w:themeFill="accent1" w:themeFillTint="3F"/>
          </w:tcPr>
          <w:p>
            <w:pPr>
              <w:spacing w:after="0" w:line="240" w:lineRule="auto"/>
              <w:jc w:val="center"/>
              <w:rPr>
                <w:rFonts w:ascii="宋体" w:hAnsi="宋体" w:eastAsia="宋体" w:cs="宋体"/>
                <w:b w:val="0"/>
                <w:bCs/>
                <w:color w:val="000000"/>
                <w:sz w:val="20"/>
                <w:szCs w:val="20"/>
              </w:rPr>
            </w:pPr>
            <w:r>
              <w:rPr>
                <w:rFonts w:hint="eastAsia" w:ascii="宋体" w:hAnsi="宋体" w:eastAsia="宋体" w:cs="宋体"/>
                <w:b w:val="0"/>
                <w:bCs/>
                <w:color w:val="000000"/>
                <w:sz w:val="20"/>
                <w:szCs w:val="20"/>
              </w:rPr>
              <w:t>信息传输、软件和信息技术服务业</w:t>
            </w:r>
          </w:p>
        </w:tc>
        <w:tc>
          <w:tcPr>
            <w:tcW w:w="3160" w:type="dxa"/>
            <w:tcBorders>
              <w:right w:val="nil"/>
              <w:insideV w:val="nil"/>
            </w:tcBorders>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896" w:type="dxa"/>
            <w:tcBorders>
              <w:right w:val="nil"/>
              <w:insideV w:val="nil"/>
            </w:tcBorders>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0.05%</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4" w:hRule="atLeast"/>
        </w:trPr>
        <w:tc>
          <w:tcPr>
            <w:tcW w:w="3583" w:type="dxa"/>
          </w:tcPr>
          <w:p>
            <w:pPr>
              <w:spacing w:after="0" w:line="240" w:lineRule="auto"/>
              <w:jc w:val="center"/>
              <w:rPr>
                <w:rFonts w:ascii="宋体" w:hAnsi="宋体" w:eastAsia="宋体" w:cs="宋体"/>
                <w:b w:val="0"/>
                <w:bCs/>
                <w:color w:val="000000"/>
                <w:sz w:val="20"/>
                <w:szCs w:val="20"/>
              </w:rPr>
            </w:pPr>
            <w:r>
              <w:rPr>
                <w:rFonts w:hint="eastAsia" w:ascii="宋体" w:hAnsi="宋体" w:eastAsia="宋体" w:cs="宋体"/>
                <w:b w:val="0"/>
                <w:bCs/>
                <w:color w:val="000000"/>
                <w:sz w:val="20"/>
                <w:szCs w:val="20"/>
              </w:rPr>
              <w:t>租赁和商务服务业</w:t>
            </w:r>
          </w:p>
        </w:tc>
        <w:tc>
          <w:tcPr>
            <w:tcW w:w="3160" w:type="dxa"/>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896" w:type="dxa"/>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0.05%</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PrEx>
        <w:trPr>
          <w:trHeight w:val="314" w:hRule="atLeast"/>
        </w:trPr>
        <w:tc>
          <w:tcPr>
            <w:tcW w:w="3583" w:type="dxa"/>
            <w:tcBorders>
              <w:left w:val="nil"/>
              <w:right w:val="nil"/>
              <w:insideV w:val="nil"/>
            </w:tcBorders>
            <w:shd w:val="clear" w:color="auto" w:fill="DCE8DD" w:themeFill="accent1" w:themeFillTint="3F"/>
          </w:tcPr>
          <w:p>
            <w:pPr>
              <w:spacing w:after="0" w:line="240" w:lineRule="auto"/>
              <w:jc w:val="center"/>
              <w:rPr>
                <w:rFonts w:ascii="宋体" w:hAnsi="宋体" w:eastAsia="宋体" w:cs="宋体"/>
                <w:b w:val="0"/>
                <w:bCs/>
                <w:color w:val="000000"/>
                <w:sz w:val="20"/>
                <w:szCs w:val="20"/>
              </w:rPr>
            </w:pPr>
            <w:r>
              <w:rPr>
                <w:rFonts w:hint="eastAsia" w:ascii="宋体" w:hAnsi="宋体" w:eastAsia="宋体" w:cs="宋体"/>
                <w:b w:val="0"/>
                <w:bCs/>
                <w:color w:val="000000"/>
                <w:sz w:val="20"/>
                <w:szCs w:val="20"/>
              </w:rPr>
              <w:t>电力、热力、燃气及水生产和供应业</w:t>
            </w:r>
          </w:p>
        </w:tc>
        <w:tc>
          <w:tcPr>
            <w:tcW w:w="3160" w:type="dxa"/>
            <w:tcBorders>
              <w:right w:val="nil"/>
              <w:insideV w:val="nil"/>
            </w:tcBorders>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w:t>
            </w:r>
          </w:p>
        </w:tc>
        <w:tc>
          <w:tcPr>
            <w:tcW w:w="2896" w:type="dxa"/>
            <w:tcBorders>
              <w:right w:val="nil"/>
              <w:insideV w:val="nil"/>
            </w:tcBorders>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0.03%</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4" w:hRule="atLeast"/>
        </w:trPr>
        <w:tc>
          <w:tcPr>
            <w:tcW w:w="3583" w:type="dxa"/>
          </w:tcPr>
          <w:p>
            <w:pPr>
              <w:spacing w:after="0" w:line="240" w:lineRule="auto"/>
              <w:jc w:val="center"/>
              <w:rPr>
                <w:rFonts w:ascii="宋体" w:hAnsi="宋体" w:eastAsia="宋体" w:cs="宋体"/>
                <w:b w:val="0"/>
                <w:bCs/>
                <w:color w:val="000000"/>
                <w:sz w:val="20"/>
                <w:szCs w:val="20"/>
              </w:rPr>
            </w:pPr>
            <w:r>
              <w:rPr>
                <w:rFonts w:hint="eastAsia" w:ascii="宋体" w:hAnsi="宋体" w:eastAsia="宋体" w:cs="宋体"/>
                <w:b w:val="0"/>
                <w:bCs/>
                <w:color w:val="000000"/>
                <w:sz w:val="20"/>
                <w:szCs w:val="20"/>
              </w:rPr>
              <w:t>房地产业</w:t>
            </w:r>
          </w:p>
        </w:tc>
        <w:tc>
          <w:tcPr>
            <w:tcW w:w="3160" w:type="dxa"/>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w:t>
            </w:r>
          </w:p>
        </w:tc>
        <w:tc>
          <w:tcPr>
            <w:tcW w:w="2896" w:type="dxa"/>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0.03%</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4" w:hRule="atLeast"/>
        </w:trPr>
        <w:tc>
          <w:tcPr>
            <w:tcW w:w="3583" w:type="dxa"/>
            <w:tcBorders>
              <w:left w:val="nil"/>
              <w:right w:val="nil"/>
              <w:insideV w:val="nil"/>
            </w:tcBorders>
            <w:shd w:val="clear" w:color="auto" w:fill="DCE8DD" w:themeFill="accent1" w:themeFillTint="3F"/>
          </w:tcPr>
          <w:p>
            <w:pPr>
              <w:spacing w:after="0" w:line="240" w:lineRule="auto"/>
              <w:jc w:val="center"/>
              <w:rPr>
                <w:rFonts w:ascii="宋体" w:hAnsi="宋体" w:eastAsia="宋体" w:cs="宋体"/>
                <w:b w:val="0"/>
                <w:bCs/>
                <w:color w:val="000000"/>
                <w:sz w:val="20"/>
                <w:szCs w:val="20"/>
              </w:rPr>
            </w:pPr>
            <w:r>
              <w:rPr>
                <w:rFonts w:hint="eastAsia" w:ascii="宋体" w:hAnsi="宋体" w:eastAsia="宋体" w:cs="宋体"/>
                <w:b w:val="0"/>
                <w:bCs/>
                <w:color w:val="000000"/>
                <w:sz w:val="20"/>
                <w:szCs w:val="20"/>
              </w:rPr>
              <w:t>科学研究和技术服务业</w:t>
            </w:r>
          </w:p>
        </w:tc>
        <w:tc>
          <w:tcPr>
            <w:tcW w:w="3160" w:type="dxa"/>
            <w:tcBorders>
              <w:right w:val="nil"/>
              <w:insideV w:val="nil"/>
            </w:tcBorders>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w:t>
            </w:r>
          </w:p>
        </w:tc>
        <w:tc>
          <w:tcPr>
            <w:tcW w:w="2896" w:type="dxa"/>
            <w:tcBorders>
              <w:right w:val="nil"/>
              <w:insideV w:val="nil"/>
            </w:tcBorders>
            <w:shd w:val="clear" w:color="auto" w:fill="DCE8DD" w:themeFill="accent1" w:themeFillTint="3F"/>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0.03%</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4" w:hRule="atLeast"/>
        </w:trPr>
        <w:tc>
          <w:tcPr>
            <w:tcW w:w="3583" w:type="dxa"/>
          </w:tcPr>
          <w:p>
            <w:pPr>
              <w:spacing w:after="0" w:line="240" w:lineRule="auto"/>
              <w:jc w:val="center"/>
              <w:rPr>
                <w:rFonts w:ascii="宋体" w:hAnsi="宋体" w:eastAsia="宋体" w:cs="宋体"/>
                <w:b w:val="0"/>
                <w:bCs/>
                <w:color w:val="000000"/>
                <w:sz w:val="20"/>
                <w:szCs w:val="20"/>
              </w:rPr>
            </w:pPr>
            <w:r>
              <w:rPr>
                <w:rFonts w:hint="eastAsia" w:ascii="宋体" w:hAnsi="宋体" w:eastAsia="宋体" w:cs="宋体"/>
                <w:b w:val="0"/>
                <w:bCs/>
                <w:color w:val="000000"/>
                <w:sz w:val="20"/>
                <w:szCs w:val="20"/>
              </w:rPr>
              <w:t>农、林、牧、渔业</w:t>
            </w:r>
          </w:p>
        </w:tc>
        <w:tc>
          <w:tcPr>
            <w:tcW w:w="3160" w:type="dxa"/>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w:t>
            </w:r>
          </w:p>
        </w:tc>
        <w:tc>
          <w:tcPr>
            <w:tcW w:w="2896" w:type="dxa"/>
          </w:tcPr>
          <w:p>
            <w:pPr>
              <w:spacing w:after="0" w:line="240" w:lineRule="auto"/>
              <w:jc w:val="center"/>
              <w:rPr>
                <w:rFonts w:ascii="宋体" w:hAnsi="宋体" w:eastAsia="宋体" w:cs="宋体"/>
                <w:color w:val="000000"/>
                <w:sz w:val="20"/>
                <w:szCs w:val="20"/>
              </w:rPr>
            </w:pPr>
            <w:r>
              <w:rPr>
                <w:rFonts w:hint="eastAsia" w:ascii="宋体" w:hAnsi="宋体" w:eastAsia="宋体" w:cs="宋体"/>
                <w:color w:val="000000"/>
                <w:sz w:val="20"/>
                <w:szCs w:val="20"/>
              </w:rPr>
              <w:t>0.03%</w:t>
            </w:r>
          </w:p>
        </w:tc>
      </w:tr>
    </w:tbl>
    <w:p>
      <w:pPr>
        <w:spacing w:before="156" w:beforeLines="50" w:line="500" w:lineRule="exact"/>
        <w:rPr>
          <w:rFonts w:ascii="宋体" w:hAnsi="宋体" w:eastAsia="宋体"/>
          <w:sz w:val="20"/>
          <w:szCs w:val="20"/>
        </w:rPr>
      </w:pPr>
      <w:r>
        <w:rPr>
          <w:rFonts w:hint="eastAsia" w:ascii="宋体" w:hAnsi="宋体" w:eastAsia="宋体"/>
          <w:sz w:val="20"/>
          <w:szCs w:val="20"/>
        </w:rPr>
        <w:t>数据来源：重庆市大学中专毕业生就业办公信息系统</w:t>
      </w:r>
    </w:p>
    <w:p>
      <w:pPr>
        <w:spacing w:before="156" w:beforeLines="50" w:line="500" w:lineRule="exact"/>
        <w:rPr>
          <w:rFonts w:ascii="宋体" w:hAnsi="宋体" w:eastAsia="宋体"/>
          <w:sz w:val="28"/>
          <w:szCs w:val="28"/>
        </w:rPr>
      </w:pPr>
      <w:r>
        <w:rPr>
          <w:rFonts w:hint="eastAsia" w:ascii="宋体" w:hAnsi="宋体" w:eastAsia="宋体"/>
          <w:sz w:val="24"/>
          <w:szCs w:val="24"/>
        </w:rPr>
        <w:t>（</w:t>
      </w:r>
      <w:r>
        <w:rPr>
          <w:rFonts w:hint="eastAsia" w:ascii="宋体" w:hAnsi="宋体" w:eastAsia="宋体"/>
          <w:sz w:val="28"/>
          <w:szCs w:val="28"/>
        </w:rPr>
        <w:t>三）就业职业分布</w:t>
      </w:r>
    </w:p>
    <w:p>
      <w:pPr>
        <w:spacing w:before="156" w:beforeLines="50" w:line="500" w:lineRule="exact"/>
        <w:ind w:firstLine="560" w:firstLineChars="200"/>
        <w:rPr>
          <w:rFonts w:asciiTheme="minorEastAsia" w:hAnsiTheme="minorEastAsia"/>
          <w:sz w:val="28"/>
          <w:szCs w:val="28"/>
        </w:rPr>
      </w:pPr>
      <w:r>
        <w:rPr>
          <w:rFonts w:hint="eastAsia" w:asciiTheme="minorEastAsia" w:hAnsiTheme="minorEastAsia"/>
          <w:sz w:val="28"/>
          <w:szCs w:val="28"/>
        </w:rPr>
        <w:t>2018届毕业生从事的职业主要是医疗/医药专业技术人员占比为</w:t>
      </w:r>
      <w:r>
        <w:rPr>
          <w:rFonts w:asciiTheme="minorEastAsia" w:hAnsiTheme="minorEastAsia"/>
          <w:sz w:val="28"/>
          <w:szCs w:val="28"/>
        </w:rPr>
        <w:t>73.9%</w:t>
      </w:r>
      <w:r>
        <w:rPr>
          <w:rFonts w:hint="eastAsia" w:cs="Arial" w:asciiTheme="minorEastAsia" w:hAnsiTheme="minorEastAsia"/>
          <w:color w:val="000000"/>
          <w:sz w:val="28"/>
          <w:szCs w:val="28"/>
        </w:rPr>
        <w:t>，</w:t>
      </w:r>
      <w:r>
        <w:rPr>
          <w:rFonts w:cs="Arial" w:asciiTheme="minorEastAsia" w:hAnsiTheme="minorEastAsia"/>
          <w:color w:val="000000"/>
          <w:sz w:val="28"/>
          <w:szCs w:val="28"/>
        </w:rPr>
        <w:t>其次是一般职员和销售人员都在</w:t>
      </w:r>
      <w:r>
        <w:rPr>
          <w:rFonts w:hint="eastAsia" w:cs="Arial" w:asciiTheme="minorEastAsia" w:hAnsiTheme="minorEastAsia"/>
          <w:color w:val="000000"/>
          <w:sz w:val="28"/>
          <w:szCs w:val="28"/>
        </w:rPr>
        <w:t>10%左右。</w:t>
      </w:r>
    </w:p>
    <w:p>
      <w:pPr>
        <w:spacing w:before="156" w:beforeLines="50" w:line="500" w:lineRule="exact"/>
        <w:jc w:val="center"/>
        <w:rPr>
          <w:rFonts w:ascii="黑体" w:hAnsi="黑体" w:eastAsia="黑体"/>
          <w:sz w:val="24"/>
          <w:szCs w:val="24"/>
        </w:rPr>
      </w:pPr>
      <w:r>
        <w:rPr>
          <w:rFonts w:hint="eastAsia" w:ascii="黑体" w:hAnsi="黑体" w:eastAsia="黑体"/>
        </w:rPr>
        <w:t>表</w:t>
      </w:r>
      <w:r>
        <w:rPr>
          <w:rFonts w:ascii="黑体" w:hAnsi="黑体" w:eastAsia="黑体" w:cs="Times New Roman"/>
          <w:bCs/>
        </w:rPr>
        <w:t>1-</w:t>
      </w:r>
      <w:r>
        <w:rPr>
          <w:rFonts w:hint="eastAsia" w:ascii="黑体" w:hAnsi="黑体" w:eastAsia="黑体" w:cs="Times New Roman"/>
          <w:bCs/>
        </w:rPr>
        <w:t>6</w:t>
      </w:r>
      <w:r>
        <w:rPr>
          <w:rFonts w:ascii="黑体" w:hAnsi="黑体" w:eastAsia="黑体" w:cs="Times New Roman"/>
          <w:bCs/>
        </w:rPr>
        <w:t xml:space="preserve"> 201</w:t>
      </w:r>
      <w:r>
        <w:rPr>
          <w:rFonts w:hint="eastAsia" w:ascii="黑体" w:hAnsi="黑体" w:eastAsia="黑体" w:cs="Times New Roman"/>
          <w:bCs/>
        </w:rPr>
        <w:t>8</w:t>
      </w:r>
      <w:r>
        <w:rPr>
          <w:rFonts w:hint="eastAsia" w:ascii="黑体" w:hAnsi="黑体" w:eastAsia="黑体"/>
        </w:rPr>
        <w:t>届毕业生就业职业分布</w:t>
      </w:r>
    </w:p>
    <w:tbl>
      <w:tblPr>
        <w:tblStyle w:val="31"/>
        <w:tblW w:w="9639" w:type="dxa"/>
        <w:tblInd w:w="0" w:type="dxa"/>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36"/>
        <w:gridCol w:w="2603"/>
      </w:tblGrid>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5" w:hRule="atLeast"/>
        </w:trPr>
        <w:tc>
          <w:tcPr>
            <w:tcW w:w="7036" w:type="dxa"/>
            <w:tcBorders>
              <w:top w:val="single" w:color="72A376" w:themeColor="accent1" w:sz="8" w:space="0"/>
              <w:left w:val="nil"/>
              <w:bottom w:val="single" w:color="72A376" w:themeColor="accent1" w:sz="8" w:space="0"/>
              <w:right w:val="nil"/>
              <w:insideH w:val="single" w:sz="8" w:space="0"/>
              <w:insideV w:val="nil"/>
            </w:tcBorders>
            <w:shd w:val="clear" w:color="auto" w:fill="76A676" w:themeFill="accent2" w:themeFillShade="BF"/>
            <w:vAlign w:val="center"/>
          </w:tcPr>
          <w:p>
            <w:pPr>
              <w:spacing w:before="0" w:after="0" w:line="240" w:lineRule="auto"/>
              <w:jc w:val="center"/>
              <w:rPr>
                <w:rFonts w:ascii="宋体" w:hAnsi="宋体" w:eastAsia="宋体" w:cs="Arial"/>
                <w:b/>
                <w:bCs/>
                <w:color w:val="FFFFFF" w:themeColor="background1"/>
                <w:sz w:val="24"/>
                <w:szCs w:val="24"/>
                <w14:textFill>
                  <w14:solidFill>
                    <w14:schemeClr w14:val="bg1"/>
                  </w14:solidFill>
                </w14:textFill>
              </w:rPr>
            </w:pPr>
            <w:r>
              <w:rPr>
                <w:rFonts w:hint="eastAsia" w:ascii="宋体" w:hAnsi="宋体" w:eastAsia="宋体" w:cs="Arial"/>
                <w:b/>
                <w:bCs/>
                <w:color w:val="FFFFFF" w:themeColor="background1"/>
                <w:sz w:val="24"/>
                <w:szCs w:val="24"/>
                <w14:textFill>
                  <w14:solidFill>
                    <w14:schemeClr w14:val="bg1"/>
                  </w14:solidFill>
                </w14:textFill>
              </w:rPr>
              <w:t>职业分布</w:t>
            </w:r>
          </w:p>
        </w:tc>
        <w:tc>
          <w:tcPr>
            <w:tcW w:w="2603" w:type="dxa"/>
            <w:tcBorders>
              <w:top w:val="single" w:color="72A376" w:themeColor="accent1" w:sz="8" w:space="0"/>
              <w:bottom w:val="single" w:color="72A376" w:themeColor="accent1" w:sz="8" w:space="0"/>
              <w:right w:val="nil"/>
              <w:insideH w:val="single" w:sz="8" w:space="0"/>
              <w:insideV w:val="nil"/>
            </w:tcBorders>
            <w:shd w:val="clear" w:color="auto" w:fill="76A676" w:themeFill="accent2" w:themeFillShade="BF"/>
            <w:vAlign w:val="center"/>
          </w:tcPr>
          <w:p>
            <w:pPr>
              <w:spacing w:before="0" w:after="0" w:line="240" w:lineRule="auto"/>
              <w:jc w:val="center"/>
              <w:rPr>
                <w:rFonts w:ascii="宋体" w:hAnsi="宋体" w:eastAsia="宋体" w:cs="Arial"/>
                <w:b/>
                <w:bCs/>
                <w:color w:val="FFFFFF" w:themeColor="background1"/>
                <w:sz w:val="24"/>
                <w:szCs w:val="24"/>
                <w14:textFill>
                  <w14:solidFill>
                    <w14:schemeClr w14:val="bg1"/>
                  </w14:solidFill>
                </w14:textFill>
              </w:rPr>
            </w:pPr>
            <w:r>
              <w:rPr>
                <w:rFonts w:hint="eastAsia" w:ascii="宋体" w:hAnsi="宋体" w:eastAsia="宋体" w:cs="Arial"/>
                <w:b/>
                <w:bCs/>
                <w:color w:val="FFFFFF" w:themeColor="background1"/>
                <w:sz w:val="24"/>
                <w:szCs w:val="24"/>
                <w14:textFill>
                  <w14:solidFill>
                    <w14:schemeClr w14:val="bg1"/>
                  </w14:solidFill>
                </w14:textFill>
              </w:rPr>
              <w:t>百分比</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9" w:hRule="atLeast"/>
        </w:trPr>
        <w:tc>
          <w:tcPr>
            <w:tcW w:w="7036" w:type="dxa"/>
            <w:tcBorders>
              <w:left w:val="nil"/>
              <w:right w:val="nil"/>
              <w:insideV w:val="nil"/>
            </w:tcBorders>
            <w:shd w:val="clear" w:color="auto" w:fill="DCE8DD" w:themeFill="accent1" w:themeFillTint="3F"/>
            <w:vAlign w:val="center"/>
          </w:tcPr>
          <w:p>
            <w:pPr>
              <w:spacing w:after="0" w:line="240" w:lineRule="auto"/>
              <w:jc w:val="center"/>
              <w:rPr>
                <w:rFonts w:ascii="宋体" w:hAnsi="宋体" w:eastAsia="宋体" w:cs="Arial"/>
                <w:b w:val="0"/>
                <w:bCs/>
                <w:color w:val="000000"/>
              </w:rPr>
            </w:pPr>
            <w:r>
              <w:rPr>
                <w:rFonts w:hint="eastAsia" w:ascii="宋体" w:hAnsi="宋体" w:eastAsia="宋体" w:cs="Arial"/>
                <w:b w:val="0"/>
                <w:bCs/>
                <w:color w:val="000000"/>
              </w:rPr>
              <w:t>医疗/医药专业技术人员</w:t>
            </w:r>
          </w:p>
        </w:tc>
        <w:tc>
          <w:tcPr>
            <w:tcW w:w="2603" w:type="dxa"/>
            <w:tcBorders>
              <w:right w:val="nil"/>
              <w:insideV w:val="nil"/>
            </w:tcBorders>
            <w:shd w:val="clear" w:color="auto" w:fill="DCE8DD" w:themeFill="accent1" w:themeFillTint="3F"/>
            <w:vAlign w:val="center"/>
          </w:tcPr>
          <w:p>
            <w:pPr>
              <w:spacing w:after="0" w:line="240" w:lineRule="auto"/>
              <w:jc w:val="center"/>
              <w:rPr>
                <w:rFonts w:ascii="Arial" w:hAnsi="Arial" w:eastAsia="宋体" w:cs="Arial"/>
                <w:color w:val="000000"/>
              </w:rPr>
            </w:pPr>
            <w:r>
              <w:rPr>
                <w:rFonts w:ascii="Arial" w:hAnsi="Arial" w:eastAsia="宋体" w:cs="Arial"/>
                <w:color w:val="000000"/>
              </w:rPr>
              <w:t>73.9%</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9" w:hRule="atLeast"/>
        </w:trPr>
        <w:tc>
          <w:tcPr>
            <w:tcW w:w="7036" w:type="dxa"/>
            <w:vAlign w:val="center"/>
          </w:tcPr>
          <w:p>
            <w:pPr>
              <w:spacing w:after="0" w:line="240" w:lineRule="auto"/>
              <w:jc w:val="center"/>
              <w:rPr>
                <w:rFonts w:ascii="宋体" w:hAnsi="宋体" w:eastAsia="宋体" w:cs="Arial"/>
                <w:b w:val="0"/>
                <w:bCs/>
                <w:color w:val="000000"/>
              </w:rPr>
            </w:pPr>
            <w:r>
              <w:rPr>
                <w:rFonts w:hint="eastAsia" w:ascii="宋体" w:hAnsi="宋体" w:eastAsia="宋体" w:cs="Arial"/>
                <w:b w:val="0"/>
                <w:bCs/>
                <w:color w:val="000000"/>
              </w:rPr>
              <w:t>办公文员（一般职员）</w:t>
            </w:r>
          </w:p>
        </w:tc>
        <w:tc>
          <w:tcPr>
            <w:tcW w:w="2603" w:type="dxa"/>
            <w:vAlign w:val="center"/>
          </w:tcPr>
          <w:p>
            <w:pPr>
              <w:spacing w:after="0" w:line="240" w:lineRule="auto"/>
              <w:jc w:val="center"/>
              <w:rPr>
                <w:rFonts w:ascii="Arial" w:hAnsi="Arial" w:eastAsia="宋体" w:cs="Arial"/>
                <w:color w:val="000000"/>
              </w:rPr>
            </w:pPr>
            <w:r>
              <w:rPr>
                <w:rFonts w:ascii="Arial" w:hAnsi="Arial" w:eastAsia="宋体" w:cs="Arial"/>
                <w:color w:val="000000"/>
              </w:rPr>
              <w:t>10.9%</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9" w:hRule="atLeast"/>
        </w:trPr>
        <w:tc>
          <w:tcPr>
            <w:tcW w:w="7036" w:type="dxa"/>
            <w:tcBorders>
              <w:left w:val="nil"/>
              <w:right w:val="nil"/>
              <w:insideV w:val="nil"/>
            </w:tcBorders>
            <w:shd w:val="clear" w:color="auto" w:fill="DCE8DD" w:themeFill="accent1" w:themeFillTint="3F"/>
            <w:vAlign w:val="center"/>
          </w:tcPr>
          <w:p>
            <w:pPr>
              <w:spacing w:after="0" w:line="240" w:lineRule="auto"/>
              <w:jc w:val="center"/>
              <w:rPr>
                <w:rFonts w:ascii="Arial" w:hAnsi="Arial" w:eastAsia="宋体" w:cs="Arial"/>
                <w:b w:val="0"/>
                <w:bCs/>
                <w:color w:val="000000"/>
              </w:rPr>
            </w:pPr>
            <w:r>
              <w:rPr>
                <w:rFonts w:ascii="Arial" w:hAnsi="Arial" w:eastAsia="宋体" w:cs="Arial"/>
                <w:b w:val="0"/>
                <w:bCs/>
                <w:color w:val="000000"/>
              </w:rPr>
              <w:t>销售人员</w:t>
            </w:r>
          </w:p>
        </w:tc>
        <w:tc>
          <w:tcPr>
            <w:tcW w:w="2603" w:type="dxa"/>
            <w:tcBorders>
              <w:right w:val="nil"/>
              <w:insideV w:val="nil"/>
            </w:tcBorders>
            <w:shd w:val="clear" w:color="auto" w:fill="DCE8DD" w:themeFill="accent1" w:themeFillTint="3F"/>
            <w:vAlign w:val="center"/>
          </w:tcPr>
          <w:p>
            <w:pPr>
              <w:spacing w:after="0" w:line="240" w:lineRule="auto"/>
              <w:jc w:val="center"/>
              <w:rPr>
                <w:rFonts w:ascii="Arial" w:hAnsi="Arial" w:eastAsia="宋体" w:cs="Arial"/>
                <w:color w:val="000000"/>
              </w:rPr>
            </w:pPr>
            <w:r>
              <w:rPr>
                <w:rFonts w:ascii="Arial" w:hAnsi="Arial" w:eastAsia="宋体" w:cs="Arial"/>
                <w:color w:val="000000"/>
              </w:rPr>
              <w:t>10.8%</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6" w:hRule="atLeast"/>
        </w:trPr>
        <w:tc>
          <w:tcPr>
            <w:tcW w:w="7036" w:type="dxa"/>
            <w:vAlign w:val="center"/>
          </w:tcPr>
          <w:p>
            <w:pPr>
              <w:spacing w:after="0" w:line="240" w:lineRule="auto"/>
              <w:jc w:val="center"/>
              <w:rPr>
                <w:rFonts w:ascii="Arial" w:hAnsi="Arial" w:eastAsia="宋体" w:cs="Arial"/>
                <w:b w:val="0"/>
                <w:bCs/>
                <w:color w:val="000000"/>
              </w:rPr>
            </w:pPr>
            <w:r>
              <w:rPr>
                <w:rFonts w:ascii="Arial" w:hAnsi="Arial" w:eastAsia="宋体" w:cs="Arial"/>
                <w:b w:val="0"/>
                <w:bCs/>
                <w:color w:val="000000"/>
              </w:rPr>
              <w:t>管理人员</w:t>
            </w:r>
          </w:p>
        </w:tc>
        <w:tc>
          <w:tcPr>
            <w:tcW w:w="2603" w:type="dxa"/>
            <w:vAlign w:val="center"/>
          </w:tcPr>
          <w:p>
            <w:pPr>
              <w:spacing w:after="0" w:line="240" w:lineRule="auto"/>
              <w:jc w:val="center"/>
              <w:rPr>
                <w:rFonts w:ascii="Arial" w:hAnsi="Arial" w:eastAsia="宋体" w:cs="Arial"/>
                <w:color w:val="000000"/>
              </w:rPr>
            </w:pPr>
            <w:r>
              <w:rPr>
                <w:rFonts w:ascii="Arial" w:hAnsi="Arial" w:eastAsia="宋体" w:cs="Arial"/>
                <w:color w:val="000000"/>
              </w:rPr>
              <w:t>2.4%</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PrEx>
        <w:trPr>
          <w:trHeight w:val="409" w:hRule="atLeast"/>
        </w:trPr>
        <w:tc>
          <w:tcPr>
            <w:tcW w:w="7036" w:type="dxa"/>
            <w:tcBorders>
              <w:left w:val="nil"/>
              <w:right w:val="nil"/>
              <w:insideV w:val="nil"/>
            </w:tcBorders>
            <w:shd w:val="clear" w:color="auto" w:fill="DCE8DD" w:themeFill="accent1" w:themeFillTint="3F"/>
            <w:vAlign w:val="center"/>
          </w:tcPr>
          <w:p>
            <w:pPr>
              <w:spacing w:after="0" w:line="240" w:lineRule="auto"/>
              <w:jc w:val="center"/>
              <w:rPr>
                <w:rFonts w:ascii="Arial" w:hAnsi="Arial" w:eastAsia="宋体" w:cs="Arial"/>
                <w:b w:val="0"/>
                <w:bCs/>
                <w:color w:val="000000"/>
              </w:rPr>
            </w:pPr>
            <w:r>
              <w:rPr>
                <w:rFonts w:ascii="Arial" w:hAnsi="Arial" w:eastAsia="宋体" w:cs="Arial"/>
                <w:b w:val="0"/>
                <w:bCs/>
                <w:color w:val="000000"/>
              </w:rPr>
              <w:t>教师</w:t>
            </w:r>
          </w:p>
        </w:tc>
        <w:tc>
          <w:tcPr>
            <w:tcW w:w="2603" w:type="dxa"/>
            <w:tcBorders>
              <w:right w:val="nil"/>
              <w:insideV w:val="nil"/>
            </w:tcBorders>
            <w:shd w:val="clear" w:color="auto" w:fill="DCE8DD" w:themeFill="accent1" w:themeFillTint="3F"/>
            <w:vAlign w:val="center"/>
          </w:tcPr>
          <w:p>
            <w:pPr>
              <w:spacing w:after="0" w:line="240" w:lineRule="auto"/>
              <w:jc w:val="center"/>
              <w:rPr>
                <w:rFonts w:ascii="Arial" w:hAnsi="Arial" w:eastAsia="宋体" w:cs="Arial"/>
                <w:color w:val="000000"/>
              </w:rPr>
            </w:pPr>
            <w:r>
              <w:rPr>
                <w:rFonts w:ascii="Arial" w:hAnsi="Arial" w:eastAsia="宋体" w:cs="Arial"/>
                <w:color w:val="000000"/>
              </w:rPr>
              <w:t>1.2%</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9" w:hRule="atLeast"/>
        </w:trPr>
        <w:tc>
          <w:tcPr>
            <w:tcW w:w="7036" w:type="dxa"/>
            <w:vAlign w:val="center"/>
          </w:tcPr>
          <w:p>
            <w:pPr>
              <w:spacing w:after="0" w:line="240" w:lineRule="auto"/>
              <w:jc w:val="center"/>
              <w:rPr>
                <w:rFonts w:ascii="宋体" w:hAnsi="宋体" w:eastAsia="宋体" w:cs="Arial"/>
                <w:b w:val="0"/>
                <w:bCs/>
                <w:color w:val="000000"/>
              </w:rPr>
            </w:pPr>
            <w:r>
              <w:rPr>
                <w:rFonts w:hint="eastAsia" w:ascii="宋体" w:hAnsi="宋体" w:eastAsia="宋体" w:cs="Arial"/>
                <w:b w:val="0"/>
                <w:bCs/>
                <w:color w:val="000000"/>
              </w:rPr>
              <w:t>军人</w:t>
            </w:r>
          </w:p>
        </w:tc>
        <w:tc>
          <w:tcPr>
            <w:tcW w:w="2603" w:type="dxa"/>
            <w:vAlign w:val="center"/>
          </w:tcPr>
          <w:p>
            <w:pPr>
              <w:spacing w:after="0" w:line="240" w:lineRule="auto"/>
              <w:jc w:val="center"/>
              <w:rPr>
                <w:rFonts w:ascii="Arial" w:hAnsi="Arial" w:eastAsia="宋体" w:cs="Arial"/>
                <w:color w:val="000000"/>
              </w:rPr>
            </w:pPr>
            <w:r>
              <w:rPr>
                <w:rFonts w:ascii="Arial" w:hAnsi="Arial" w:eastAsia="宋体" w:cs="Arial"/>
                <w:color w:val="000000"/>
              </w:rPr>
              <w:t>0.3%</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9" w:hRule="atLeast"/>
        </w:trPr>
        <w:tc>
          <w:tcPr>
            <w:tcW w:w="7036" w:type="dxa"/>
            <w:tcBorders>
              <w:left w:val="nil"/>
              <w:right w:val="nil"/>
              <w:insideV w:val="nil"/>
            </w:tcBorders>
            <w:shd w:val="clear" w:color="auto" w:fill="DCE8DD" w:themeFill="accent1" w:themeFillTint="3F"/>
          </w:tcPr>
          <w:p>
            <w:pPr>
              <w:spacing w:after="0" w:line="240" w:lineRule="auto"/>
              <w:jc w:val="center"/>
              <w:rPr>
                <w:rFonts w:ascii="Arial" w:hAnsi="Arial" w:eastAsia="宋体" w:cs="Arial"/>
                <w:b w:val="0"/>
                <w:bCs/>
                <w:color w:val="000000"/>
              </w:rPr>
            </w:pPr>
            <w:r>
              <w:rPr>
                <w:rFonts w:ascii="Arial" w:hAnsi="Arial" w:eastAsia="宋体" w:cs="Arial"/>
                <w:b w:val="0"/>
                <w:bCs/>
                <w:color w:val="000000"/>
              </w:rPr>
              <w:t>其他</w:t>
            </w:r>
          </w:p>
        </w:tc>
        <w:tc>
          <w:tcPr>
            <w:tcW w:w="2603" w:type="dxa"/>
            <w:tcBorders>
              <w:right w:val="nil"/>
              <w:insideV w:val="nil"/>
            </w:tcBorders>
            <w:shd w:val="clear" w:color="auto" w:fill="DCE8DD" w:themeFill="accent1" w:themeFillTint="3F"/>
          </w:tcPr>
          <w:p>
            <w:pPr>
              <w:spacing w:after="0" w:line="240" w:lineRule="auto"/>
              <w:jc w:val="center"/>
              <w:rPr>
                <w:rFonts w:ascii="Arial" w:hAnsi="Arial" w:eastAsia="宋体" w:cs="Arial"/>
                <w:color w:val="000000"/>
              </w:rPr>
            </w:pPr>
            <w:r>
              <w:rPr>
                <w:rFonts w:ascii="Arial" w:hAnsi="Arial" w:eastAsia="宋体" w:cs="Arial"/>
                <w:color w:val="000000"/>
              </w:rPr>
              <w:t>0.4%</w:t>
            </w:r>
          </w:p>
        </w:tc>
      </w:tr>
    </w:tbl>
    <w:p>
      <w:pPr>
        <w:rPr>
          <w:sz w:val="20"/>
          <w:szCs w:val="20"/>
        </w:rPr>
      </w:pPr>
      <w:r>
        <w:rPr>
          <w:rFonts w:hint="eastAsia"/>
          <w:sz w:val="20"/>
          <w:szCs w:val="20"/>
        </w:rPr>
        <w:t>数据来源：第三方机构成都泽奥-2018 届毕业生就业与培养质量调查</w:t>
      </w:r>
    </w:p>
    <w:p>
      <w:pPr>
        <w:spacing w:before="156" w:beforeLines="50" w:line="500" w:lineRule="exact"/>
        <w:rPr>
          <w:rFonts w:ascii="宋体" w:hAnsi="宋体" w:eastAsia="宋体"/>
          <w:sz w:val="28"/>
          <w:szCs w:val="28"/>
        </w:rPr>
      </w:pPr>
      <w:r>
        <w:rPr>
          <w:rFonts w:hint="eastAsia" w:ascii="宋体" w:hAnsi="宋体" w:eastAsia="宋体"/>
          <w:sz w:val="28"/>
          <w:szCs w:val="28"/>
        </w:rPr>
        <w:t>（四）就业单位分布</w:t>
      </w:r>
    </w:p>
    <w:p>
      <w:pPr>
        <w:spacing w:before="156" w:beforeLines="50" w:line="500" w:lineRule="exact"/>
        <w:ind w:firstLine="560" w:firstLineChars="200"/>
        <w:rPr>
          <w:rFonts w:ascii="宋体" w:hAnsi="宋体" w:eastAsia="宋体"/>
          <w:sz w:val="28"/>
          <w:szCs w:val="28"/>
        </w:rPr>
      </w:pPr>
      <w:r>
        <w:rPr>
          <w:rFonts w:hint="eastAsia" w:ascii="宋体" w:hAnsi="宋体" w:eastAsia="宋体"/>
          <w:sz w:val="28"/>
          <w:szCs w:val="28"/>
        </w:rPr>
        <w:t>2018届毕业生的就业单位分布前三位为私营企业（55.93%），其次是医疗卫生单位（30.76%），第三是事业单位（11.19%）</w:t>
      </w:r>
    </w:p>
    <w:p>
      <w:pPr>
        <w:spacing w:before="156" w:beforeLines="50" w:line="500" w:lineRule="exact"/>
        <w:jc w:val="center"/>
        <w:rPr>
          <w:rFonts w:ascii="黑体" w:hAnsi="黑体" w:eastAsia="黑体"/>
        </w:rPr>
      </w:pPr>
      <w:r>
        <w:rPr>
          <w:rFonts w:ascii="黑体" w:hAnsi="黑体" w:eastAsia="黑体"/>
        </w:rPr>
        <w:drawing>
          <wp:anchor distT="0" distB="0" distL="114300" distR="114300" simplePos="0" relativeHeight="251697152" behindDoc="0" locked="0" layoutInCell="1" allowOverlap="1">
            <wp:simplePos x="0" y="0"/>
            <wp:positionH relativeFrom="column">
              <wp:posOffset>377825</wp:posOffset>
            </wp:positionH>
            <wp:positionV relativeFrom="paragraph">
              <wp:posOffset>4445</wp:posOffset>
            </wp:positionV>
            <wp:extent cx="5600700" cy="2657475"/>
            <wp:effectExtent l="0" t="0" r="0" b="0"/>
            <wp:wrapTopAndBottom/>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hint="eastAsia" w:ascii="黑体" w:hAnsi="黑体" w:eastAsia="黑体"/>
        </w:rPr>
        <w:t>图</w:t>
      </w:r>
      <w:r>
        <w:rPr>
          <w:rFonts w:ascii="黑体" w:hAnsi="黑体" w:eastAsia="黑体" w:cs="Times New Roman"/>
          <w:bCs/>
        </w:rPr>
        <w:t>1-</w:t>
      </w:r>
      <w:r>
        <w:rPr>
          <w:rFonts w:hint="eastAsia" w:ascii="黑体" w:hAnsi="黑体" w:eastAsia="黑体" w:cs="Times New Roman"/>
          <w:bCs/>
        </w:rPr>
        <w:t>6</w:t>
      </w:r>
      <w:r>
        <w:rPr>
          <w:rFonts w:ascii="黑体" w:hAnsi="黑体" w:eastAsia="黑体" w:cs="Times New Roman"/>
          <w:bCs/>
        </w:rPr>
        <w:t xml:space="preserve"> 201</w:t>
      </w:r>
      <w:r>
        <w:rPr>
          <w:rFonts w:hint="eastAsia" w:ascii="黑体" w:hAnsi="黑体" w:eastAsia="黑体" w:cs="Times New Roman"/>
          <w:bCs/>
        </w:rPr>
        <w:t>8</w:t>
      </w:r>
      <w:r>
        <w:rPr>
          <w:rFonts w:hint="eastAsia" w:ascii="黑体" w:hAnsi="黑体" w:eastAsia="黑体"/>
        </w:rPr>
        <w:t>届毕业生就业单位分布</w:t>
      </w:r>
    </w:p>
    <w:p>
      <w:pPr>
        <w:spacing w:before="156" w:beforeLines="50" w:line="500" w:lineRule="exact"/>
        <w:rPr>
          <w:rFonts w:ascii="宋体" w:hAnsi="宋体" w:eastAsia="宋体"/>
          <w:sz w:val="20"/>
          <w:szCs w:val="20"/>
        </w:rPr>
      </w:pPr>
      <w:r>
        <w:rPr>
          <w:rFonts w:hint="eastAsia" w:ascii="宋体" w:hAnsi="宋体" w:eastAsia="宋体"/>
          <w:sz w:val="20"/>
          <w:szCs w:val="20"/>
        </w:rPr>
        <w:t>数据来源：重庆市大学中专毕业生就业办公信息系统</w:t>
      </w:r>
    </w:p>
    <w:p>
      <w:pPr>
        <w:spacing w:before="156" w:beforeLines="50" w:line="500" w:lineRule="exact"/>
        <w:rPr>
          <w:rFonts w:ascii="宋体" w:hAnsi="宋体" w:eastAsia="宋体"/>
          <w:sz w:val="28"/>
          <w:szCs w:val="28"/>
        </w:rPr>
      </w:pPr>
      <w:r>
        <w:rPr>
          <w:rFonts w:hint="eastAsia" w:ascii="宋体" w:hAnsi="宋体" w:eastAsia="宋体"/>
          <w:sz w:val="28"/>
          <w:szCs w:val="28"/>
        </w:rPr>
        <w:t>（五）重点流向单位</w:t>
      </w:r>
    </w:p>
    <w:p>
      <w:pPr>
        <w:spacing w:before="156" w:beforeLines="50" w:line="500" w:lineRule="exact"/>
        <w:ind w:firstLine="560" w:firstLineChars="200"/>
        <w:rPr>
          <w:rFonts w:ascii="宋体" w:hAnsi="宋体" w:eastAsia="宋体"/>
          <w:sz w:val="28"/>
          <w:szCs w:val="28"/>
        </w:rPr>
      </w:pPr>
      <w:r>
        <w:rPr>
          <w:rFonts w:hint="eastAsia" w:ascii="宋体" w:hAnsi="宋体" w:eastAsia="宋体"/>
          <w:sz w:val="28"/>
          <w:szCs w:val="28"/>
        </w:rPr>
        <w:t>2018届毕业生主要流向重庆鸿翔一心堂药业有限公司、重庆市万和药房连锁有限公司、重庆三圣实业股份有限公司等单位。</w:t>
      </w:r>
    </w:p>
    <w:p>
      <w:pPr>
        <w:spacing w:before="156" w:beforeLines="50" w:line="500" w:lineRule="exact"/>
        <w:jc w:val="center"/>
        <w:rPr>
          <w:rFonts w:ascii="黑体" w:hAnsi="黑体" w:eastAsia="黑体"/>
          <w:sz w:val="24"/>
          <w:szCs w:val="24"/>
        </w:rPr>
      </w:pPr>
      <w:r>
        <w:rPr>
          <w:rFonts w:hint="eastAsia" w:ascii="黑体" w:hAnsi="黑体" w:eastAsia="黑体"/>
        </w:rPr>
        <w:t>表</w:t>
      </w:r>
      <w:r>
        <w:rPr>
          <w:rFonts w:ascii="黑体" w:hAnsi="黑体" w:eastAsia="黑体" w:cs="Times New Roman"/>
          <w:bCs/>
        </w:rPr>
        <w:t xml:space="preserve">1- </w:t>
      </w:r>
      <w:r>
        <w:rPr>
          <w:rFonts w:hint="eastAsia" w:ascii="黑体" w:hAnsi="黑体" w:eastAsia="黑体" w:cs="Times New Roman"/>
          <w:bCs/>
        </w:rPr>
        <w:t>7</w:t>
      </w:r>
      <w:r>
        <w:rPr>
          <w:rFonts w:ascii="黑体" w:hAnsi="黑体" w:eastAsia="黑体" w:cs="Times New Roman"/>
          <w:bCs/>
        </w:rPr>
        <w:t xml:space="preserve"> 201</w:t>
      </w:r>
      <w:r>
        <w:rPr>
          <w:rFonts w:hint="eastAsia" w:ascii="黑体" w:hAnsi="黑体" w:eastAsia="黑体" w:cs="Times New Roman"/>
          <w:bCs/>
        </w:rPr>
        <w:t>8</w:t>
      </w:r>
      <w:r>
        <w:rPr>
          <w:rFonts w:ascii="黑体" w:hAnsi="黑体" w:eastAsia="黑体" w:cs="Times New Roman"/>
          <w:bCs/>
        </w:rPr>
        <w:t xml:space="preserve"> </w:t>
      </w:r>
      <w:r>
        <w:rPr>
          <w:rFonts w:hint="eastAsia" w:ascii="黑体" w:hAnsi="黑体" w:eastAsia="黑体"/>
        </w:rPr>
        <w:t>届毕业生就业重点流向单位分布</w:t>
      </w:r>
    </w:p>
    <w:tbl>
      <w:tblPr>
        <w:tblStyle w:val="31"/>
        <w:tblW w:w="9543" w:type="dxa"/>
        <w:tblInd w:w="0" w:type="dxa"/>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80"/>
        <w:gridCol w:w="4463"/>
      </w:tblGrid>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5080" w:type="dxa"/>
            <w:tcBorders>
              <w:top w:val="single" w:color="72A376" w:themeColor="accent1" w:sz="8" w:space="0"/>
              <w:left w:val="nil"/>
              <w:bottom w:val="single" w:color="72A376" w:themeColor="accent1" w:sz="8" w:space="0"/>
              <w:right w:val="nil"/>
              <w:insideH w:val="single" w:sz="8" w:space="0"/>
              <w:insideV w:val="nil"/>
            </w:tcBorders>
            <w:shd w:val="clear" w:color="auto" w:fill="76A676" w:themeFill="accent2" w:themeFillShade="BF"/>
            <w:vAlign w:val="center"/>
          </w:tcPr>
          <w:p>
            <w:pPr>
              <w:spacing w:before="0" w:after="0" w:line="240" w:lineRule="auto"/>
              <w:jc w:val="center"/>
              <w:rPr>
                <w:rFonts w:ascii="宋体" w:hAnsi="宋体" w:eastAsia="宋体" w:cs="宋体"/>
                <w:b/>
                <w:bCs w:val="0"/>
                <w:color w:val="FFFFFF" w:themeColor="background1"/>
                <w:sz w:val="24"/>
                <w:szCs w:val="24"/>
                <w14:textFill>
                  <w14:solidFill>
                    <w14:schemeClr w14:val="bg1"/>
                  </w14:solidFill>
                </w14:textFill>
              </w:rPr>
            </w:pPr>
            <w:r>
              <w:rPr>
                <w:rFonts w:hint="eastAsia" w:ascii="宋体" w:hAnsi="宋体" w:eastAsia="宋体" w:cs="宋体"/>
                <w:b/>
                <w:bCs w:val="0"/>
                <w:color w:val="FFFFFF" w:themeColor="background1"/>
                <w:sz w:val="24"/>
                <w:szCs w:val="24"/>
                <w14:textFill>
                  <w14:solidFill>
                    <w14:schemeClr w14:val="bg1"/>
                  </w14:solidFill>
                </w14:textFill>
              </w:rPr>
              <w:t>单位</w:t>
            </w:r>
          </w:p>
        </w:tc>
        <w:tc>
          <w:tcPr>
            <w:tcW w:w="4463" w:type="dxa"/>
            <w:tcBorders>
              <w:top w:val="single" w:color="72A376" w:themeColor="accent1" w:sz="8" w:space="0"/>
              <w:bottom w:val="single" w:color="72A376" w:themeColor="accent1" w:sz="8" w:space="0"/>
              <w:right w:val="nil"/>
              <w:insideH w:val="single" w:sz="8" w:space="0"/>
              <w:insideV w:val="nil"/>
            </w:tcBorders>
            <w:shd w:val="clear" w:color="auto" w:fill="76A676" w:themeFill="accent2" w:themeFillShade="BF"/>
            <w:vAlign w:val="center"/>
          </w:tcPr>
          <w:p>
            <w:pPr>
              <w:spacing w:before="0" w:after="0" w:line="240" w:lineRule="auto"/>
              <w:jc w:val="center"/>
              <w:rPr>
                <w:rFonts w:ascii="宋体" w:hAnsi="宋体" w:eastAsia="宋体" w:cs="宋体"/>
                <w:b/>
                <w:bCs w:val="0"/>
                <w:color w:val="FFFFFF" w:themeColor="background1"/>
                <w:sz w:val="24"/>
                <w:szCs w:val="24"/>
                <w14:textFill>
                  <w14:solidFill>
                    <w14:schemeClr w14:val="bg1"/>
                  </w14:solidFill>
                </w14:textFill>
              </w:rPr>
            </w:pPr>
            <w:r>
              <w:rPr>
                <w:rFonts w:hint="eastAsia" w:ascii="宋体" w:hAnsi="宋体" w:eastAsia="宋体" w:cs="宋体"/>
                <w:b/>
                <w:bCs w:val="0"/>
                <w:color w:val="FFFFFF" w:themeColor="background1"/>
                <w:sz w:val="24"/>
                <w:szCs w:val="24"/>
                <w14:textFill>
                  <w14:solidFill>
                    <w14:schemeClr w14:val="bg1"/>
                  </w14:solidFill>
                </w14:textFill>
              </w:rPr>
              <w:t>人数</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5080" w:type="dxa"/>
            <w:tcBorders>
              <w:left w:val="nil"/>
              <w:right w:val="nil"/>
              <w:insideV w:val="nil"/>
            </w:tcBorders>
            <w:shd w:val="clear" w:color="auto" w:fill="DCE8DD" w:themeFill="accent1" w:themeFillTint="3F"/>
            <w:vAlign w:val="center"/>
          </w:tcPr>
          <w:p>
            <w:pPr>
              <w:spacing w:after="0" w:line="240" w:lineRule="auto"/>
              <w:jc w:val="center"/>
              <w:rPr>
                <w:rFonts w:ascii="Arial" w:hAnsi="Arial" w:eastAsia="宋体" w:cs="Arial"/>
                <w:b w:val="0"/>
                <w:bCs/>
                <w:color w:val="000000"/>
                <w:sz w:val="18"/>
                <w:szCs w:val="18"/>
              </w:rPr>
            </w:pPr>
            <w:r>
              <w:rPr>
                <w:rFonts w:ascii="Arial" w:hAnsi="Arial" w:eastAsia="宋体" w:cs="Arial"/>
                <w:b w:val="0"/>
                <w:bCs/>
                <w:color w:val="000000"/>
                <w:sz w:val="18"/>
                <w:szCs w:val="18"/>
              </w:rPr>
              <w:t>重庆鸿翔一心堂药业有限公司</w:t>
            </w:r>
          </w:p>
        </w:tc>
        <w:tc>
          <w:tcPr>
            <w:tcW w:w="4463" w:type="dxa"/>
            <w:tcBorders>
              <w:right w:val="nil"/>
              <w:insideV w:val="nil"/>
            </w:tcBorders>
            <w:shd w:val="clear" w:color="auto" w:fill="DCE8DD" w:themeFill="accent1" w:themeFillTint="3F"/>
            <w:vAlign w:val="center"/>
          </w:tcPr>
          <w:p>
            <w:pPr>
              <w:spacing w:after="0" w:line="240" w:lineRule="auto"/>
              <w:jc w:val="center"/>
              <w:rPr>
                <w:rFonts w:ascii="Arial" w:hAnsi="Arial" w:eastAsia="宋体" w:cs="Arial"/>
                <w:color w:val="000000"/>
                <w:sz w:val="18"/>
                <w:szCs w:val="18"/>
              </w:rPr>
            </w:pPr>
            <w:r>
              <w:rPr>
                <w:rFonts w:hint="eastAsia" w:ascii="Arial" w:hAnsi="Arial" w:eastAsia="宋体" w:cs="Arial"/>
                <w:color w:val="000000"/>
                <w:sz w:val="18"/>
                <w:szCs w:val="18"/>
              </w:rPr>
              <w:t>42</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5080" w:type="dxa"/>
            <w:vAlign w:val="center"/>
          </w:tcPr>
          <w:p>
            <w:pPr>
              <w:spacing w:after="0" w:line="240" w:lineRule="auto"/>
              <w:jc w:val="center"/>
              <w:rPr>
                <w:rFonts w:ascii="Arial" w:hAnsi="Arial" w:eastAsia="宋体" w:cs="Arial"/>
                <w:b w:val="0"/>
                <w:bCs/>
                <w:color w:val="000000"/>
                <w:sz w:val="18"/>
                <w:szCs w:val="18"/>
              </w:rPr>
            </w:pPr>
            <w:r>
              <w:rPr>
                <w:rFonts w:ascii="Arial" w:hAnsi="Arial" w:eastAsia="宋体" w:cs="Arial"/>
                <w:b w:val="0"/>
                <w:bCs/>
                <w:color w:val="000000"/>
                <w:sz w:val="18"/>
                <w:szCs w:val="18"/>
              </w:rPr>
              <w:t>重庆市万和药房连锁有限公司</w:t>
            </w:r>
          </w:p>
        </w:tc>
        <w:tc>
          <w:tcPr>
            <w:tcW w:w="4463" w:type="dxa"/>
            <w:vAlign w:val="center"/>
          </w:tcPr>
          <w:p>
            <w:pPr>
              <w:spacing w:after="0" w:line="240" w:lineRule="auto"/>
              <w:jc w:val="center"/>
              <w:rPr>
                <w:rFonts w:ascii="Arial" w:hAnsi="Arial" w:eastAsia="宋体" w:cs="Arial"/>
                <w:color w:val="000000"/>
                <w:sz w:val="18"/>
                <w:szCs w:val="18"/>
              </w:rPr>
            </w:pPr>
            <w:r>
              <w:rPr>
                <w:rFonts w:hint="eastAsia" w:ascii="Arial" w:hAnsi="Arial" w:eastAsia="宋体" w:cs="Arial"/>
                <w:color w:val="000000"/>
                <w:sz w:val="18"/>
                <w:szCs w:val="18"/>
              </w:rPr>
              <w:t>42</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5080" w:type="dxa"/>
            <w:tcBorders>
              <w:left w:val="nil"/>
              <w:right w:val="nil"/>
              <w:insideV w:val="nil"/>
            </w:tcBorders>
            <w:shd w:val="clear" w:color="auto" w:fill="DCE8DD" w:themeFill="accent1" w:themeFillTint="3F"/>
            <w:vAlign w:val="center"/>
          </w:tcPr>
          <w:p>
            <w:pPr>
              <w:spacing w:after="0" w:line="240" w:lineRule="auto"/>
              <w:jc w:val="center"/>
              <w:rPr>
                <w:rFonts w:ascii="Arial" w:hAnsi="Arial" w:eastAsia="宋体" w:cs="Arial"/>
                <w:b w:val="0"/>
                <w:bCs/>
                <w:color w:val="000000"/>
                <w:sz w:val="18"/>
                <w:szCs w:val="18"/>
              </w:rPr>
            </w:pPr>
            <w:r>
              <w:rPr>
                <w:rFonts w:ascii="Arial" w:hAnsi="Arial" w:eastAsia="宋体" w:cs="Arial"/>
                <w:b w:val="0"/>
                <w:bCs/>
                <w:color w:val="000000"/>
                <w:sz w:val="18"/>
                <w:szCs w:val="18"/>
              </w:rPr>
              <w:t>重庆三圣实业股份有限公司</w:t>
            </w:r>
          </w:p>
        </w:tc>
        <w:tc>
          <w:tcPr>
            <w:tcW w:w="4463" w:type="dxa"/>
            <w:tcBorders>
              <w:right w:val="nil"/>
              <w:insideV w:val="nil"/>
            </w:tcBorders>
            <w:shd w:val="clear" w:color="auto" w:fill="DCE8DD" w:themeFill="accent1" w:themeFillTint="3F"/>
            <w:vAlign w:val="center"/>
          </w:tcPr>
          <w:p>
            <w:pPr>
              <w:spacing w:after="0" w:line="240" w:lineRule="auto"/>
              <w:jc w:val="center"/>
              <w:rPr>
                <w:rFonts w:ascii="Arial" w:hAnsi="Arial" w:eastAsia="宋体" w:cs="Arial"/>
                <w:color w:val="000000"/>
                <w:sz w:val="18"/>
                <w:szCs w:val="18"/>
              </w:rPr>
            </w:pPr>
            <w:r>
              <w:rPr>
                <w:rFonts w:ascii="Arial" w:hAnsi="Arial" w:eastAsia="宋体" w:cs="Arial"/>
                <w:color w:val="000000"/>
                <w:sz w:val="18"/>
                <w:szCs w:val="18"/>
              </w:rPr>
              <w:t>34</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5080" w:type="dxa"/>
            <w:vAlign w:val="center"/>
          </w:tcPr>
          <w:p>
            <w:pPr>
              <w:spacing w:after="0" w:line="240" w:lineRule="auto"/>
              <w:jc w:val="center"/>
              <w:rPr>
                <w:rFonts w:ascii="Arial" w:hAnsi="Arial" w:eastAsia="宋体" w:cs="Arial"/>
                <w:b w:val="0"/>
                <w:bCs/>
                <w:color w:val="000000"/>
                <w:sz w:val="18"/>
                <w:szCs w:val="18"/>
              </w:rPr>
            </w:pPr>
            <w:r>
              <w:rPr>
                <w:rFonts w:ascii="Arial" w:hAnsi="Arial" w:eastAsia="宋体" w:cs="Arial"/>
                <w:b w:val="0"/>
                <w:bCs/>
                <w:color w:val="000000"/>
                <w:sz w:val="18"/>
                <w:szCs w:val="18"/>
              </w:rPr>
              <w:t>重庆市綦江区中医院</w:t>
            </w:r>
          </w:p>
        </w:tc>
        <w:tc>
          <w:tcPr>
            <w:tcW w:w="4463" w:type="dxa"/>
            <w:vAlign w:val="center"/>
          </w:tcPr>
          <w:p>
            <w:pPr>
              <w:spacing w:after="0" w:line="240" w:lineRule="auto"/>
              <w:jc w:val="center"/>
              <w:rPr>
                <w:rFonts w:ascii="Arial" w:hAnsi="Arial" w:eastAsia="宋体" w:cs="Arial"/>
                <w:color w:val="000000"/>
                <w:sz w:val="18"/>
                <w:szCs w:val="18"/>
              </w:rPr>
            </w:pPr>
            <w:r>
              <w:rPr>
                <w:rFonts w:ascii="Arial" w:hAnsi="Arial" w:eastAsia="宋体" w:cs="Arial"/>
                <w:color w:val="000000"/>
                <w:sz w:val="18"/>
                <w:szCs w:val="18"/>
              </w:rPr>
              <w:t>25</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PrEx>
        <w:trPr>
          <w:trHeight w:val="455" w:hRule="atLeast"/>
        </w:trPr>
        <w:tc>
          <w:tcPr>
            <w:tcW w:w="5080" w:type="dxa"/>
            <w:tcBorders>
              <w:left w:val="nil"/>
              <w:right w:val="nil"/>
              <w:insideV w:val="nil"/>
            </w:tcBorders>
            <w:shd w:val="clear" w:color="auto" w:fill="DCE8DD" w:themeFill="accent1" w:themeFillTint="3F"/>
            <w:vAlign w:val="center"/>
          </w:tcPr>
          <w:p>
            <w:pPr>
              <w:spacing w:after="0" w:line="240" w:lineRule="auto"/>
              <w:jc w:val="center"/>
              <w:rPr>
                <w:rFonts w:ascii="Arial" w:hAnsi="Arial" w:eastAsia="宋体" w:cs="Arial"/>
                <w:b w:val="0"/>
                <w:bCs/>
                <w:color w:val="000000"/>
                <w:sz w:val="18"/>
                <w:szCs w:val="18"/>
              </w:rPr>
            </w:pPr>
            <w:r>
              <w:rPr>
                <w:rFonts w:ascii="Arial" w:hAnsi="Arial" w:eastAsia="宋体" w:cs="Arial"/>
                <w:b w:val="0"/>
                <w:bCs/>
                <w:color w:val="000000"/>
                <w:sz w:val="18"/>
                <w:szCs w:val="18"/>
              </w:rPr>
              <w:t>重庆华博军卫医药股份有限公司</w:t>
            </w:r>
          </w:p>
        </w:tc>
        <w:tc>
          <w:tcPr>
            <w:tcW w:w="4463" w:type="dxa"/>
            <w:tcBorders>
              <w:right w:val="nil"/>
              <w:insideV w:val="nil"/>
            </w:tcBorders>
            <w:shd w:val="clear" w:color="auto" w:fill="DCE8DD" w:themeFill="accent1" w:themeFillTint="3F"/>
            <w:vAlign w:val="center"/>
          </w:tcPr>
          <w:p>
            <w:pPr>
              <w:spacing w:after="0" w:line="240" w:lineRule="auto"/>
              <w:jc w:val="center"/>
              <w:rPr>
                <w:rFonts w:ascii="Arial" w:hAnsi="Arial" w:eastAsia="宋体" w:cs="Arial"/>
                <w:color w:val="000000"/>
                <w:sz w:val="18"/>
                <w:szCs w:val="18"/>
              </w:rPr>
            </w:pPr>
            <w:r>
              <w:rPr>
                <w:rFonts w:ascii="Arial" w:hAnsi="Arial" w:eastAsia="宋体" w:cs="Arial"/>
                <w:color w:val="000000"/>
                <w:sz w:val="18"/>
                <w:szCs w:val="18"/>
              </w:rPr>
              <w:t>22</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5080" w:type="dxa"/>
            <w:vAlign w:val="center"/>
          </w:tcPr>
          <w:p>
            <w:pPr>
              <w:spacing w:after="0" w:line="240" w:lineRule="auto"/>
              <w:jc w:val="center"/>
              <w:rPr>
                <w:rFonts w:ascii="Arial" w:hAnsi="Arial" w:eastAsia="宋体" w:cs="Arial"/>
                <w:b w:val="0"/>
                <w:bCs/>
                <w:color w:val="000000"/>
                <w:sz w:val="18"/>
                <w:szCs w:val="18"/>
              </w:rPr>
            </w:pPr>
            <w:r>
              <w:rPr>
                <w:rFonts w:ascii="Arial" w:hAnsi="Arial" w:eastAsia="宋体" w:cs="Arial"/>
                <w:b w:val="0"/>
                <w:bCs/>
                <w:color w:val="000000"/>
                <w:sz w:val="18"/>
                <w:szCs w:val="18"/>
              </w:rPr>
              <w:t>重庆市江津区中心医院</w:t>
            </w:r>
          </w:p>
        </w:tc>
        <w:tc>
          <w:tcPr>
            <w:tcW w:w="4463" w:type="dxa"/>
            <w:vAlign w:val="center"/>
          </w:tcPr>
          <w:p>
            <w:pPr>
              <w:spacing w:after="0" w:line="240" w:lineRule="auto"/>
              <w:jc w:val="center"/>
              <w:rPr>
                <w:rFonts w:ascii="Arial" w:hAnsi="Arial" w:eastAsia="宋体" w:cs="Arial"/>
                <w:color w:val="000000"/>
                <w:sz w:val="18"/>
                <w:szCs w:val="18"/>
              </w:rPr>
            </w:pPr>
            <w:r>
              <w:rPr>
                <w:rFonts w:ascii="Arial" w:hAnsi="Arial" w:eastAsia="宋体" w:cs="Arial"/>
                <w:color w:val="000000"/>
                <w:sz w:val="18"/>
                <w:szCs w:val="18"/>
              </w:rPr>
              <w:t>21</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5080" w:type="dxa"/>
            <w:tcBorders>
              <w:left w:val="nil"/>
              <w:right w:val="nil"/>
              <w:insideV w:val="nil"/>
            </w:tcBorders>
            <w:shd w:val="clear" w:color="auto" w:fill="DCE8DD" w:themeFill="accent1" w:themeFillTint="3F"/>
            <w:vAlign w:val="center"/>
          </w:tcPr>
          <w:p>
            <w:pPr>
              <w:spacing w:after="0" w:line="240" w:lineRule="auto"/>
              <w:jc w:val="center"/>
              <w:rPr>
                <w:rFonts w:ascii="Arial" w:hAnsi="Arial" w:eastAsia="宋体" w:cs="Arial"/>
                <w:b w:val="0"/>
                <w:bCs/>
                <w:color w:val="000000"/>
                <w:sz w:val="18"/>
                <w:szCs w:val="18"/>
              </w:rPr>
            </w:pPr>
            <w:r>
              <w:rPr>
                <w:rFonts w:ascii="Arial" w:hAnsi="Arial" w:eastAsia="宋体" w:cs="Arial"/>
                <w:b w:val="0"/>
                <w:bCs/>
                <w:color w:val="000000"/>
                <w:sz w:val="18"/>
                <w:szCs w:val="18"/>
              </w:rPr>
              <w:t>山西广誉远国药有限公司</w:t>
            </w:r>
          </w:p>
        </w:tc>
        <w:tc>
          <w:tcPr>
            <w:tcW w:w="4463" w:type="dxa"/>
            <w:tcBorders>
              <w:right w:val="nil"/>
              <w:insideV w:val="nil"/>
            </w:tcBorders>
            <w:shd w:val="clear" w:color="auto" w:fill="DCE8DD" w:themeFill="accent1" w:themeFillTint="3F"/>
            <w:vAlign w:val="center"/>
          </w:tcPr>
          <w:p>
            <w:pPr>
              <w:spacing w:after="0" w:line="240" w:lineRule="auto"/>
              <w:jc w:val="center"/>
              <w:rPr>
                <w:rFonts w:ascii="Arial" w:hAnsi="Arial" w:eastAsia="宋体" w:cs="Arial"/>
                <w:color w:val="000000"/>
                <w:sz w:val="18"/>
                <w:szCs w:val="18"/>
              </w:rPr>
            </w:pPr>
            <w:r>
              <w:rPr>
                <w:rFonts w:hint="eastAsia" w:ascii="Arial" w:hAnsi="Arial" w:eastAsia="宋体" w:cs="Arial"/>
                <w:color w:val="000000"/>
                <w:sz w:val="18"/>
                <w:szCs w:val="18"/>
              </w:rPr>
              <w:t>20</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5080" w:type="dxa"/>
            <w:vAlign w:val="center"/>
          </w:tcPr>
          <w:p>
            <w:pPr>
              <w:spacing w:after="0" w:line="240" w:lineRule="auto"/>
              <w:jc w:val="center"/>
              <w:rPr>
                <w:rFonts w:ascii="Arial" w:hAnsi="Arial" w:eastAsia="宋体" w:cs="Arial"/>
                <w:b w:val="0"/>
                <w:bCs/>
                <w:color w:val="000000"/>
                <w:sz w:val="18"/>
                <w:szCs w:val="18"/>
              </w:rPr>
            </w:pPr>
            <w:r>
              <w:rPr>
                <w:rFonts w:ascii="Arial" w:hAnsi="Arial" w:eastAsia="宋体" w:cs="Arial"/>
                <w:b w:val="0"/>
                <w:bCs/>
                <w:color w:val="000000"/>
                <w:sz w:val="18"/>
                <w:szCs w:val="18"/>
              </w:rPr>
              <w:t>重庆唐氏药业有限公司</w:t>
            </w:r>
          </w:p>
        </w:tc>
        <w:tc>
          <w:tcPr>
            <w:tcW w:w="4463" w:type="dxa"/>
            <w:vAlign w:val="center"/>
          </w:tcPr>
          <w:p>
            <w:pPr>
              <w:spacing w:after="0" w:line="240" w:lineRule="auto"/>
              <w:jc w:val="center"/>
              <w:rPr>
                <w:rFonts w:ascii="Arial" w:hAnsi="Arial" w:eastAsia="宋体" w:cs="Arial"/>
                <w:color w:val="000000"/>
                <w:sz w:val="18"/>
                <w:szCs w:val="18"/>
              </w:rPr>
            </w:pPr>
            <w:r>
              <w:rPr>
                <w:rFonts w:ascii="Arial" w:hAnsi="Arial" w:eastAsia="宋体" w:cs="Arial"/>
                <w:color w:val="000000"/>
                <w:sz w:val="18"/>
                <w:szCs w:val="18"/>
              </w:rPr>
              <w:t>18</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5080" w:type="dxa"/>
            <w:tcBorders>
              <w:left w:val="nil"/>
              <w:right w:val="nil"/>
              <w:insideV w:val="nil"/>
            </w:tcBorders>
            <w:shd w:val="clear" w:color="auto" w:fill="DCE8DD" w:themeFill="accent1" w:themeFillTint="3F"/>
            <w:vAlign w:val="center"/>
          </w:tcPr>
          <w:p>
            <w:pPr>
              <w:spacing w:after="0" w:line="240" w:lineRule="auto"/>
              <w:jc w:val="center"/>
              <w:rPr>
                <w:rFonts w:ascii="Arial" w:hAnsi="Arial" w:eastAsia="宋体" w:cs="Arial"/>
                <w:b w:val="0"/>
                <w:bCs/>
                <w:color w:val="000000"/>
                <w:sz w:val="18"/>
                <w:szCs w:val="18"/>
              </w:rPr>
            </w:pPr>
            <w:r>
              <w:rPr>
                <w:rFonts w:ascii="Arial" w:hAnsi="Arial" w:eastAsia="宋体" w:cs="Arial"/>
                <w:b w:val="0"/>
                <w:bCs/>
                <w:color w:val="000000"/>
                <w:sz w:val="18"/>
                <w:szCs w:val="18"/>
              </w:rPr>
              <w:t>重庆中元生物技术有限公司</w:t>
            </w:r>
          </w:p>
        </w:tc>
        <w:tc>
          <w:tcPr>
            <w:tcW w:w="4463" w:type="dxa"/>
            <w:tcBorders>
              <w:right w:val="nil"/>
              <w:insideV w:val="nil"/>
            </w:tcBorders>
            <w:shd w:val="clear" w:color="auto" w:fill="DCE8DD" w:themeFill="accent1" w:themeFillTint="3F"/>
            <w:vAlign w:val="center"/>
          </w:tcPr>
          <w:p>
            <w:pPr>
              <w:spacing w:after="0" w:line="240" w:lineRule="auto"/>
              <w:jc w:val="center"/>
              <w:rPr>
                <w:rFonts w:ascii="Arial" w:hAnsi="Arial" w:eastAsia="宋体" w:cs="Arial"/>
                <w:color w:val="000000"/>
                <w:sz w:val="18"/>
                <w:szCs w:val="18"/>
              </w:rPr>
            </w:pPr>
            <w:r>
              <w:rPr>
                <w:rFonts w:ascii="Arial" w:hAnsi="Arial" w:eastAsia="宋体" w:cs="Arial"/>
                <w:color w:val="000000"/>
                <w:sz w:val="18"/>
                <w:szCs w:val="18"/>
              </w:rPr>
              <w:t>17</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5080" w:type="dxa"/>
            <w:vAlign w:val="center"/>
          </w:tcPr>
          <w:p>
            <w:pPr>
              <w:spacing w:after="0" w:line="240" w:lineRule="auto"/>
              <w:jc w:val="center"/>
              <w:rPr>
                <w:rFonts w:ascii="Arial" w:hAnsi="Arial" w:eastAsia="宋体" w:cs="Arial"/>
                <w:b w:val="0"/>
                <w:bCs/>
                <w:color w:val="000000"/>
                <w:sz w:val="18"/>
                <w:szCs w:val="18"/>
              </w:rPr>
            </w:pPr>
            <w:r>
              <w:rPr>
                <w:rFonts w:ascii="Arial" w:hAnsi="Arial" w:eastAsia="宋体" w:cs="Arial"/>
                <w:b w:val="0"/>
                <w:bCs/>
                <w:color w:val="000000"/>
                <w:sz w:val="18"/>
                <w:szCs w:val="18"/>
              </w:rPr>
              <w:t>阿斯利康（无锡）贸易有限公司</w:t>
            </w:r>
          </w:p>
        </w:tc>
        <w:tc>
          <w:tcPr>
            <w:tcW w:w="4463" w:type="dxa"/>
            <w:vAlign w:val="center"/>
          </w:tcPr>
          <w:p>
            <w:pPr>
              <w:spacing w:after="0" w:line="240" w:lineRule="auto"/>
              <w:jc w:val="center"/>
              <w:rPr>
                <w:rFonts w:ascii="Arial" w:hAnsi="Arial" w:eastAsia="宋体" w:cs="Arial"/>
                <w:color w:val="000000"/>
                <w:sz w:val="18"/>
                <w:szCs w:val="18"/>
              </w:rPr>
            </w:pPr>
            <w:r>
              <w:rPr>
                <w:rFonts w:ascii="Arial" w:hAnsi="Arial" w:eastAsia="宋体" w:cs="Arial"/>
                <w:color w:val="000000"/>
                <w:sz w:val="18"/>
                <w:szCs w:val="18"/>
              </w:rPr>
              <w:t>15</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PrEx>
        <w:trPr>
          <w:trHeight w:val="455" w:hRule="atLeast"/>
        </w:trPr>
        <w:tc>
          <w:tcPr>
            <w:tcW w:w="5080" w:type="dxa"/>
            <w:tcBorders>
              <w:left w:val="nil"/>
              <w:right w:val="nil"/>
              <w:insideV w:val="nil"/>
            </w:tcBorders>
            <w:shd w:val="clear" w:color="auto" w:fill="DCE8DD" w:themeFill="accent1" w:themeFillTint="3F"/>
            <w:vAlign w:val="center"/>
          </w:tcPr>
          <w:p>
            <w:pPr>
              <w:spacing w:after="0" w:line="240" w:lineRule="auto"/>
              <w:jc w:val="center"/>
              <w:rPr>
                <w:rFonts w:ascii="Arial" w:hAnsi="Arial" w:eastAsia="宋体" w:cs="Arial"/>
                <w:b w:val="0"/>
                <w:bCs/>
                <w:color w:val="000000"/>
                <w:sz w:val="18"/>
                <w:szCs w:val="18"/>
              </w:rPr>
            </w:pPr>
            <w:r>
              <w:rPr>
                <w:rFonts w:ascii="Arial" w:hAnsi="Arial" w:eastAsia="宋体" w:cs="Arial"/>
                <w:b w:val="0"/>
                <w:bCs/>
                <w:color w:val="000000"/>
                <w:sz w:val="18"/>
                <w:szCs w:val="18"/>
              </w:rPr>
              <w:t>重庆鑫斛药房连锁有限公司</w:t>
            </w:r>
          </w:p>
        </w:tc>
        <w:tc>
          <w:tcPr>
            <w:tcW w:w="4463" w:type="dxa"/>
            <w:tcBorders>
              <w:right w:val="nil"/>
              <w:insideV w:val="nil"/>
            </w:tcBorders>
            <w:shd w:val="clear" w:color="auto" w:fill="DCE8DD" w:themeFill="accent1" w:themeFillTint="3F"/>
            <w:vAlign w:val="center"/>
          </w:tcPr>
          <w:p>
            <w:pPr>
              <w:spacing w:after="0" w:line="240" w:lineRule="auto"/>
              <w:jc w:val="center"/>
              <w:rPr>
                <w:rFonts w:ascii="Arial" w:hAnsi="Arial" w:eastAsia="宋体" w:cs="Arial"/>
                <w:color w:val="000000"/>
                <w:sz w:val="18"/>
                <w:szCs w:val="18"/>
              </w:rPr>
            </w:pPr>
            <w:r>
              <w:rPr>
                <w:rFonts w:ascii="Arial" w:hAnsi="Arial" w:eastAsia="宋体" w:cs="Arial"/>
                <w:color w:val="000000"/>
                <w:sz w:val="18"/>
                <w:szCs w:val="18"/>
              </w:rPr>
              <w:t>15</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5080" w:type="dxa"/>
            <w:vAlign w:val="center"/>
          </w:tcPr>
          <w:p>
            <w:pPr>
              <w:spacing w:after="0" w:line="240" w:lineRule="auto"/>
              <w:jc w:val="center"/>
              <w:rPr>
                <w:rFonts w:ascii="Arial" w:hAnsi="Arial" w:eastAsia="宋体" w:cs="Arial"/>
                <w:b w:val="0"/>
                <w:bCs/>
                <w:color w:val="000000"/>
                <w:sz w:val="18"/>
                <w:szCs w:val="18"/>
              </w:rPr>
            </w:pPr>
            <w:r>
              <w:rPr>
                <w:rFonts w:ascii="Arial" w:hAnsi="Arial" w:eastAsia="宋体" w:cs="Arial"/>
                <w:b w:val="0"/>
                <w:bCs/>
                <w:color w:val="000000"/>
                <w:sz w:val="18"/>
                <w:szCs w:val="18"/>
              </w:rPr>
              <w:t>重庆忆念美美容管理有限公司</w:t>
            </w:r>
          </w:p>
        </w:tc>
        <w:tc>
          <w:tcPr>
            <w:tcW w:w="4463" w:type="dxa"/>
            <w:vAlign w:val="center"/>
          </w:tcPr>
          <w:p>
            <w:pPr>
              <w:spacing w:after="0" w:line="240" w:lineRule="auto"/>
              <w:jc w:val="center"/>
              <w:rPr>
                <w:rFonts w:ascii="Arial" w:hAnsi="Arial" w:eastAsia="宋体" w:cs="Arial"/>
                <w:color w:val="000000"/>
                <w:sz w:val="18"/>
                <w:szCs w:val="18"/>
              </w:rPr>
            </w:pPr>
            <w:r>
              <w:rPr>
                <w:rFonts w:ascii="Arial" w:hAnsi="Arial" w:eastAsia="宋体" w:cs="Arial"/>
                <w:color w:val="000000"/>
                <w:sz w:val="18"/>
                <w:szCs w:val="18"/>
              </w:rPr>
              <w:t>15</w:t>
            </w:r>
          </w:p>
        </w:tc>
      </w:tr>
      <w:tr>
        <w:tblPrEx>
          <w:tblBorders>
            <w:top w:val="single" w:color="72A376" w:themeColor="accent1" w:sz="8" w:space="0"/>
            <w:left w:val="none" w:color="auto" w:sz="0" w:space="0"/>
            <w:bottom w:val="single" w:color="72A376"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5080" w:type="dxa"/>
            <w:tcBorders>
              <w:left w:val="nil"/>
              <w:right w:val="nil"/>
              <w:insideV w:val="nil"/>
            </w:tcBorders>
            <w:shd w:val="clear" w:color="auto" w:fill="DCE8DD" w:themeFill="accent1" w:themeFillTint="3F"/>
            <w:vAlign w:val="center"/>
          </w:tcPr>
          <w:p>
            <w:pPr>
              <w:spacing w:after="0" w:line="240" w:lineRule="auto"/>
              <w:jc w:val="center"/>
              <w:rPr>
                <w:rFonts w:ascii="Arial" w:hAnsi="Arial" w:eastAsia="宋体" w:cs="Arial"/>
                <w:b w:val="0"/>
                <w:bCs/>
                <w:color w:val="000000"/>
                <w:sz w:val="18"/>
                <w:szCs w:val="18"/>
              </w:rPr>
            </w:pPr>
            <w:r>
              <w:rPr>
                <w:rFonts w:ascii="Arial" w:hAnsi="Arial" w:eastAsia="宋体" w:cs="Arial"/>
                <w:b w:val="0"/>
                <w:bCs/>
                <w:color w:val="000000"/>
                <w:sz w:val="18"/>
                <w:szCs w:val="18"/>
              </w:rPr>
              <w:t>辉瑞制药投资有限公司</w:t>
            </w:r>
          </w:p>
        </w:tc>
        <w:tc>
          <w:tcPr>
            <w:tcW w:w="4463" w:type="dxa"/>
            <w:tcBorders>
              <w:right w:val="nil"/>
              <w:insideV w:val="nil"/>
            </w:tcBorders>
            <w:shd w:val="clear" w:color="auto" w:fill="DCE8DD" w:themeFill="accent1" w:themeFillTint="3F"/>
            <w:vAlign w:val="center"/>
          </w:tcPr>
          <w:p>
            <w:pPr>
              <w:spacing w:after="0" w:line="240" w:lineRule="auto"/>
              <w:jc w:val="center"/>
              <w:rPr>
                <w:rFonts w:ascii="Arial" w:hAnsi="Arial" w:eastAsia="宋体" w:cs="Arial"/>
                <w:color w:val="000000"/>
                <w:sz w:val="18"/>
                <w:szCs w:val="18"/>
              </w:rPr>
            </w:pPr>
            <w:r>
              <w:rPr>
                <w:rFonts w:hint="eastAsia" w:ascii="Arial" w:hAnsi="Arial" w:eastAsia="宋体" w:cs="Arial"/>
                <w:color w:val="000000"/>
                <w:sz w:val="18"/>
                <w:szCs w:val="18"/>
              </w:rPr>
              <w:t>14</w:t>
            </w:r>
          </w:p>
        </w:tc>
      </w:tr>
    </w:tbl>
    <w:p>
      <w:pPr>
        <w:spacing w:before="156" w:beforeLines="50" w:line="500" w:lineRule="exact"/>
        <w:rPr>
          <w:rFonts w:ascii="宋体" w:hAnsi="宋体" w:eastAsia="宋体"/>
          <w:sz w:val="20"/>
          <w:szCs w:val="20"/>
        </w:rPr>
      </w:pPr>
      <w:r>
        <w:rPr>
          <w:rFonts w:hint="eastAsia" w:ascii="宋体" w:hAnsi="宋体" w:eastAsia="宋体"/>
          <w:sz w:val="20"/>
          <w:szCs w:val="20"/>
        </w:rPr>
        <w:t>数据来源：重庆市大学中专毕业生就业办公信息系统</w:t>
      </w:r>
    </w:p>
    <w:p>
      <w:pPr>
        <w:widowControl w:val="0"/>
        <w:autoSpaceDE w:val="0"/>
        <w:autoSpaceDN w:val="0"/>
        <w:adjustRightInd w:val="0"/>
        <w:spacing w:after="0" w:line="360" w:lineRule="auto"/>
        <w:rPr>
          <w:rFonts w:ascii="黑体" w:eastAsia="黑体" w:cs="黑体"/>
          <w:iCs w:val="0"/>
          <w:color w:val="000000"/>
          <w:sz w:val="30"/>
          <w:szCs w:val="30"/>
        </w:rPr>
      </w:pPr>
    </w:p>
    <w:p>
      <w:pPr>
        <w:widowControl w:val="0"/>
        <w:autoSpaceDE w:val="0"/>
        <w:autoSpaceDN w:val="0"/>
        <w:adjustRightInd w:val="0"/>
        <w:spacing w:after="0" w:line="360" w:lineRule="auto"/>
        <w:rPr>
          <w:rFonts w:ascii="黑体" w:eastAsia="黑体" w:cs="黑体"/>
          <w:iCs w:val="0"/>
          <w:color w:val="000000"/>
          <w:sz w:val="30"/>
          <w:szCs w:val="30"/>
        </w:rPr>
      </w:pPr>
    </w:p>
    <w:p>
      <w:pPr>
        <w:widowControl w:val="0"/>
        <w:autoSpaceDE w:val="0"/>
        <w:autoSpaceDN w:val="0"/>
        <w:adjustRightInd w:val="0"/>
        <w:spacing w:after="0" w:line="360" w:lineRule="auto"/>
        <w:rPr>
          <w:rFonts w:ascii="黑体" w:eastAsia="黑体" w:cs="黑体"/>
          <w:iCs w:val="0"/>
          <w:color w:val="000000"/>
          <w:sz w:val="30"/>
          <w:szCs w:val="30"/>
        </w:rPr>
      </w:pPr>
    </w:p>
    <w:p>
      <w:pPr>
        <w:widowControl w:val="0"/>
        <w:autoSpaceDE w:val="0"/>
        <w:autoSpaceDN w:val="0"/>
        <w:adjustRightInd w:val="0"/>
        <w:spacing w:after="0" w:line="360" w:lineRule="auto"/>
        <w:rPr>
          <w:rFonts w:ascii="黑体" w:eastAsia="黑体" w:cs="黑体"/>
          <w:iCs w:val="0"/>
          <w:color w:val="000000"/>
          <w:sz w:val="30"/>
          <w:szCs w:val="30"/>
        </w:rPr>
      </w:pPr>
    </w:p>
    <w:p>
      <w:pPr>
        <w:widowControl w:val="0"/>
        <w:autoSpaceDE w:val="0"/>
        <w:autoSpaceDN w:val="0"/>
        <w:adjustRightInd w:val="0"/>
        <w:spacing w:after="0" w:line="360" w:lineRule="auto"/>
        <w:rPr>
          <w:rFonts w:ascii="黑体" w:eastAsia="黑体" w:cs="黑体"/>
          <w:iCs w:val="0"/>
          <w:color w:val="000000"/>
          <w:sz w:val="30"/>
          <w:szCs w:val="30"/>
        </w:rPr>
      </w:pPr>
    </w:p>
    <w:p>
      <w:pPr>
        <w:widowControl w:val="0"/>
        <w:autoSpaceDE w:val="0"/>
        <w:autoSpaceDN w:val="0"/>
        <w:adjustRightInd w:val="0"/>
        <w:spacing w:after="0" w:line="360" w:lineRule="auto"/>
        <w:rPr>
          <w:rFonts w:ascii="黑体" w:eastAsia="黑体" w:cs="黑体"/>
          <w:iCs w:val="0"/>
          <w:color w:val="000000"/>
          <w:sz w:val="30"/>
          <w:szCs w:val="30"/>
        </w:rPr>
      </w:pPr>
    </w:p>
    <w:p>
      <w:pPr>
        <w:widowControl w:val="0"/>
        <w:autoSpaceDE w:val="0"/>
        <w:autoSpaceDN w:val="0"/>
        <w:adjustRightInd w:val="0"/>
        <w:spacing w:after="0" w:line="360" w:lineRule="auto"/>
        <w:rPr>
          <w:rFonts w:ascii="黑体" w:eastAsia="黑体" w:cs="黑体"/>
          <w:iCs w:val="0"/>
          <w:color w:val="000000"/>
          <w:sz w:val="30"/>
          <w:szCs w:val="30"/>
        </w:rPr>
      </w:pPr>
    </w:p>
    <w:p>
      <w:pPr>
        <w:widowControl w:val="0"/>
        <w:autoSpaceDE w:val="0"/>
        <w:autoSpaceDN w:val="0"/>
        <w:adjustRightInd w:val="0"/>
        <w:spacing w:after="0" w:line="360" w:lineRule="auto"/>
        <w:rPr>
          <w:rFonts w:ascii="黑体" w:eastAsia="黑体" w:cs="黑体"/>
          <w:iCs w:val="0"/>
          <w:color w:val="000000"/>
          <w:sz w:val="30"/>
          <w:szCs w:val="30"/>
        </w:rPr>
      </w:pPr>
    </w:p>
    <w:p>
      <w:pPr>
        <w:widowControl w:val="0"/>
        <w:autoSpaceDE w:val="0"/>
        <w:autoSpaceDN w:val="0"/>
        <w:adjustRightInd w:val="0"/>
        <w:spacing w:after="0" w:line="360" w:lineRule="auto"/>
        <w:rPr>
          <w:rFonts w:ascii="黑体" w:eastAsia="黑体" w:cs="黑体"/>
          <w:iCs w:val="0"/>
          <w:color w:val="000000"/>
          <w:sz w:val="30"/>
          <w:szCs w:val="30"/>
        </w:rPr>
      </w:pPr>
    </w:p>
    <w:p>
      <w:pPr>
        <w:widowControl w:val="0"/>
        <w:autoSpaceDE w:val="0"/>
        <w:autoSpaceDN w:val="0"/>
        <w:adjustRightInd w:val="0"/>
        <w:spacing w:after="0" w:line="360" w:lineRule="auto"/>
        <w:rPr>
          <w:rFonts w:ascii="黑体" w:eastAsia="黑体" w:cs="黑体"/>
          <w:iCs w:val="0"/>
          <w:color w:val="000000"/>
          <w:sz w:val="30"/>
          <w:szCs w:val="30"/>
        </w:rPr>
      </w:pPr>
    </w:p>
    <w:p>
      <w:pPr>
        <w:widowControl w:val="0"/>
        <w:autoSpaceDE w:val="0"/>
        <w:autoSpaceDN w:val="0"/>
        <w:adjustRightInd w:val="0"/>
        <w:spacing w:after="0" w:line="360" w:lineRule="auto"/>
        <w:rPr>
          <w:rFonts w:ascii="黑体" w:eastAsia="黑体" w:cs="黑体"/>
          <w:iCs w:val="0"/>
          <w:color w:val="000000"/>
          <w:sz w:val="30"/>
          <w:szCs w:val="30"/>
        </w:rPr>
      </w:pPr>
    </w:p>
    <w:p>
      <w:pPr>
        <w:widowControl w:val="0"/>
        <w:autoSpaceDE w:val="0"/>
        <w:autoSpaceDN w:val="0"/>
        <w:adjustRightInd w:val="0"/>
        <w:spacing w:after="0" w:line="360" w:lineRule="auto"/>
        <w:rPr>
          <w:rFonts w:ascii="黑体" w:eastAsia="黑体" w:cs="黑体"/>
          <w:iCs w:val="0"/>
          <w:color w:val="000000"/>
          <w:sz w:val="30"/>
          <w:szCs w:val="30"/>
        </w:rPr>
      </w:pPr>
    </w:p>
    <w:p>
      <w:pPr>
        <w:widowControl w:val="0"/>
        <w:autoSpaceDE w:val="0"/>
        <w:autoSpaceDN w:val="0"/>
        <w:adjustRightInd w:val="0"/>
        <w:spacing w:after="0" w:line="360" w:lineRule="auto"/>
        <w:rPr>
          <w:rFonts w:ascii="黑体" w:eastAsia="黑体" w:cs="黑体"/>
          <w:iCs w:val="0"/>
          <w:color w:val="000000"/>
          <w:sz w:val="30"/>
          <w:szCs w:val="30"/>
        </w:rPr>
      </w:pPr>
    </w:p>
    <w:p>
      <w:pPr>
        <w:pStyle w:val="2"/>
        <w:jc w:val="center"/>
        <w:rPr>
          <w:rFonts w:ascii="微软雅黑" w:hAnsi="微软雅黑" w:eastAsia="微软雅黑"/>
          <w:sz w:val="32"/>
          <w:szCs w:val="32"/>
        </w:rPr>
      </w:pPr>
      <w:r>
        <w:fldChar w:fldCharType="begin"/>
      </w:r>
      <w:r>
        <w:instrText xml:space="preserve"> HYPERLINK \l "_Toc397169539" </w:instrText>
      </w:r>
      <w:r>
        <w:fldChar w:fldCharType="separate"/>
      </w:r>
      <w:bookmarkStart w:id="11" w:name="_Toc533510631"/>
      <w:r>
        <w:rPr>
          <w:rFonts w:hint="eastAsia" w:ascii="微软雅黑" w:hAnsi="微软雅黑" w:eastAsia="微软雅黑"/>
          <w:b/>
          <w:sz w:val="32"/>
          <w:szCs w:val="32"/>
        </w:rPr>
        <w:t>第二篇：学校就业创业工作举措</w:t>
      </w:r>
      <w:bookmarkEnd w:id="11"/>
      <w:r>
        <w:rPr>
          <w:rFonts w:hint="eastAsia" w:ascii="微软雅黑" w:hAnsi="微软雅黑" w:eastAsia="微软雅黑"/>
          <w:b/>
          <w:sz w:val="32"/>
          <w:szCs w:val="32"/>
        </w:rPr>
        <w:fldChar w:fldCharType="end"/>
      </w:r>
    </w:p>
    <w:p>
      <w:pPr>
        <w:ind w:firstLine="551" w:firstLineChars="197"/>
        <w:rPr>
          <w:rFonts w:asciiTheme="minorEastAsia" w:hAnsiTheme="minorEastAsia"/>
          <w:sz w:val="28"/>
          <w:szCs w:val="28"/>
        </w:rPr>
      </w:pPr>
      <w:r>
        <w:rPr>
          <w:rFonts w:hint="eastAsia" w:asciiTheme="minorEastAsia" w:hAnsiTheme="minorEastAsia"/>
          <w:sz w:val="28"/>
          <w:szCs w:val="28"/>
        </w:rPr>
        <w:t>2018年，十九大报告明确强调,要坚持就业优先战略和积极就业政策,实现更高质量和更充分就业。学校深入贯彻执行《重庆市教育委员会关于做好2018年普通高校毕业生就业创业工作的通知》精神，认真落实全国及全市教育工作会等会议要求，创新工作方法，强举措、突重点、抓落实，圆满完成就业工作目标。</w:t>
      </w:r>
      <w:r>
        <w:rPr>
          <w:rFonts w:hint="eastAsia" w:asciiTheme="minorEastAsia" w:hAnsiTheme="minorEastAsia"/>
          <w:bCs/>
          <w:spacing w:val="10"/>
          <w:sz w:val="28"/>
          <w:szCs w:val="28"/>
        </w:rPr>
        <w:t>2018年</w:t>
      </w:r>
      <w:r>
        <w:rPr>
          <w:rFonts w:hint="eastAsia" w:asciiTheme="minorEastAsia" w:hAnsiTheme="minorEastAsia"/>
          <w:spacing w:val="10"/>
          <w:sz w:val="28"/>
          <w:szCs w:val="28"/>
        </w:rPr>
        <w:t>专科生毕业生4357人，初次就业率97.04%，年终就业率97.09%，超过重庆市高校毕业生初次就业率88.85%，较好地完成了毕业生就业工作任务</w:t>
      </w:r>
      <w:r>
        <w:rPr>
          <w:rFonts w:hint="eastAsia" w:asciiTheme="minorEastAsia" w:hAnsiTheme="minorEastAsia"/>
          <w:spacing w:val="-12"/>
          <w:sz w:val="28"/>
          <w:szCs w:val="28"/>
        </w:rPr>
        <w:t>。</w:t>
      </w:r>
    </w:p>
    <w:p>
      <w:pPr>
        <w:pStyle w:val="3"/>
      </w:pPr>
      <w:bookmarkStart w:id="12" w:name="_Toc533510632"/>
      <w:r>
        <w:rPr>
          <w:rFonts w:hint="eastAsia"/>
        </w:rPr>
        <w:t>一、注重机制内涵建设，构建就业保障体系</w:t>
      </w:r>
      <w:bookmarkEnd w:id="12"/>
    </w:p>
    <w:p>
      <w:pPr>
        <w:pStyle w:val="22"/>
        <w:spacing w:before="0" w:beforeAutospacing="0" w:after="0" w:afterAutospacing="0"/>
        <w:ind w:firstLine="560" w:firstLineChars="200"/>
        <w:jc w:val="both"/>
        <w:rPr>
          <w:rFonts w:asciiTheme="minorEastAsia" w:hAnsiTheme="minorEastAsia" w:eastAsiaTheme="minorEastAsia"/>
          <w:kern w:val="2"/>
          <w:sz w:val="28"/>
          <w:szCs w:val="28"/>
        </w:rPr>
      </w:pPr>
      <w:r>
        <w:rPr>
          <w:rFonts w:hint="eastAsia" w:asciiTheme="minorEastAsia" w:hAnsiTheme="minorEastAsia" w:eastAsiaTheme="minorEastAsia"/>
          <w:kern w:val="2"/>
          <w:sz w:val="28"/>
          <w:szCs w:val="28"/>
        </w:rPr>
        <w:t>学校领导高度重视毕业生就业工作，坚决贯彻落实“一把手”工程，成立了以校长为组长，分管领导为副组长，相关职能部门负责人为成员的毕业生就业工作领导小组，实现了学校、二级学院、辅导员三级联动，建立了举措有力、机制灵活、渠道互补、选择多样的高效就业工作保障体系。</w:t>
      </w:r>
    </w:p>
    <w:p>
      <w:pPr>
        <w:adjustRightInd w:val="0"/>
        <w:ind w:firstLine="560" w:firstLineChars="200"/>
        <w:rPr>
          <w:rFonts w:asciiTheme="minorEastAsia" w:hAnsiTheme="minorEastAsia"/>
          <w:sz w:val="28"/>
          <w:szCs w:val="28"/>
        </w:rPr>
      </w:pPr>
      <w:r>
        <w:rPr>
          <w:rFonts w:hint="eastAsia" w:asciiTheme="minorEastAsia" w:hAnsiTheme="minorEastAsia"/>
          <w:sz w:val="28"/>
          <w:szCs w:val="28"/>
        </w:rPr>
        <w:t>通过建立健全就业工作管理、考核和奖励制度，明确工作职责，确定就业目标，层层落实责任，形成了毕业生就业工作长效机制，保障就业工作规范有序开展。</w:t>
      </w:r>
    </w:p>
    <w:p>
      <w:pPr>
        <w:pStyle w:val="3"/>
      </w:pPr>
      <w:bookmarkStart w:id="13" w:name="_Toc533510633"/>
      <w:r>
        <w:rPr>
          <w:rFonts w:hint="eastAsia"/>
        </w:rPr>
        <w:t>二、优化指导服务功能，提升就业创业能力</w:t>
      </w:r>
      <w:bookmarkEnd w:id="13"/>
    </w:p>
    <w:p>
      <w:pPr>
        <w:pStyle w:val="22"/>
        <w:spacing w:before="0" w:beforeAutospacing="0" w:after="0" w:afterAutospacing="0"/>
        <w:ind w:firstLine="280" w:firstLineChars="1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学校成立医药职业教育集团就业创业指导服务中心，建立就业创业运行机制，借助平台扎实推进就业创业工作全面有效开展。</w:t>
      </w:r>
    </w:p>
    <w:p>
      <w:pPr>
        <w:pStyle w:val="22"/>
        <w:spacing w:before="0" w:beforeAutospacing="0" w:after="0" w:afterAutospacing="0"/>
        <w:ind w:firstLine="280" w:firstLineChars="100"/>
        <w:jc w:val="both"/>
        <w:rPr>
          <w:rFonts w:asciiTheme="minorEastAsia" w:hAnsiTheme="minorEastAsia" w:eastAsiaTheme="minorEastAsia"/>
          <w:sz w:val="28"/>
          <w:szCs w:val="28"/>
        </w:rPr>
      </w:pPr>
      <w:r>
        <w:rPr>
          <w:rFonts w:hint="eastAsia" w:cs="Times New Roman" w:asciiTheme="minorEastAsia" w:hAnsiTheme="minorEastAsia" w:eastAsiaTheme="minorEastAsia"/>
          <w:kern w:val="2"/>
          <w:sz w:val="28"/>
          <w:szCs w:val="28"/>
        </w:rPr>
        <w:t xml:space="preserve"> 1.开设</w:t>
      </w:r>
      <w:r>
        <w:rPr>
          <w:rFonts w:hint="eastAsia" w:asciiTheme="minorEastAsia" w:hAnsiTheme="minorEastAsia" w:eastAsiaTheme="minorEastAsia"/>
          <w:sz w:val="28"/>
          <w:szCs w:val="28"/>
        </w:rPr>
        <w:t>就业指导课等通识教育</w:t>
      </w:r>
    </w:p>
    <w:p>
      <w:pPr>
        <w:pStyle w:val="22"/>
        <w:spacing w:before="0" w:beforeAutospacing="0" w:after="0" w:afterAutospacing="0"/>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学校结合专业特点在大一和大二学生中开设了必修课《大学生职业发展与就业指导》、选修课《大学生创业基础》等课程，运用网络、手机微信课堂等多种手段和方式推进教学和实践，实施就业全员化、全程化指导。</w:t>
      </w:r>
    </w:p>
    <w:p>
      <w:pPr>
        <w:pStyle w:val="22"/>
        <w:spacing w:before="0" w:beforeAutospacing="0" w:after="0" w:afterAutospacing="0"/>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2.开展专家讲座、职业测评等就业指导服务</w:t>
      </w:r>
    </w:p>
    <w:p>
      <w:pPr>
        <w:pStyle w:val="22"/>
        <w:spacing w:before="0" w:beforeAutospacing="0" w:after="0" w:afterAutospacing="0"/>
        <w:ind w:firstLine="280" w:firstLineChars="1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学校依托重庆医药职业教育集团、行业专家库、重庆市大学生就业创业专家库等资源，聘请行业专家、杰出校友、职业经理人、高级职业指导师和心理咨询师等举办就业专题讲座、专题报告、校友交流会、就业指导会等8场，使1000余名学生受益。</w:t>
      </w:r>
    </w:p>
    <w:p>
      <w:pPr>
        <w:pStyle w:val="3"/>
      </w:pPr>
      <w:bookmarkStart w:id="14" w:name="_Toc533510634"/>
      <w:r>
        <w:rPr>
          <w:rFonts w:hint="eastAsia"/>
        </w:rPr>
        <w:t>三、落实双创引领计划，打造特色创业基地</w:t>
      </w:r>
      <w:bookmarkEnd w:id="14"/>
    </w:p>
    <w:p>
      <w:pPr>
        <w:ind w:firstLine="560" w:firstLineChars="200"/>
        <w:rPr>
          <w:rFonts w:ascii="宋体" w:hAnsi="宋体"/>
          <w:sz w:val="28"/>
          <w:szCs w:val="28"/>
        </w:rPr>
      </w:pPr>
      <w:r>
        <w:rPr>
          <w:rFonts w:hint="eastAsia" w:ascii="宋体" w:hAnsi="宋体"/>
          <w:sz w:val="28"/>
          <w:szCs w:val="28"/>
        </w:rPr>
        <w:t xml:space="preserve">1.创新教育  </w:t>
      </w:r>
    </w:p>
    <w:p>
      <w:pPr>
        <w:ind w:firstLine="560" w:firstLineChars="200"/>
        <w:rPr>
          <w:rFonts w:ascii="宋体" w:hAnsi="宋体"/>
          <w:sz w:val="28"/>
          <w:szCs w:val="28"/>
        </w:rPr>
      </w:pPr>
      <w:r>
        <w:rPr>
          <w:rFonts w:hint="eastAsia" w:ascii="宋体" w:hAnsi="宋体"/>
          <w:sz w:val="28"/>
          <w:szCs w:val="28"/>
        </w:rPr>
        <w:t>学校</w:t>
      </w:r>
      <w:r>
        <w:rPr>
          <w:rFonts w:ascii="宋体" w:hAnsi="宋体"/>
          <w:sz w:val="28"/>
          <w:szCs w:val="28"/>
        </w:rPr>
        <w:t>以引导学生进行自主创业为最终目标，培养学生的创新、创造、创业精神，激发学生的创新、创造、创业意识，全面提高学生的创新、创造、创业综合能力和创新创业领导能力。201</w:t>
      </w:r>
      <w:r>
        <w:rPr>
          <w:rFonts w:hint="eastAsia" w:ascii="宋体" w:hAnsi="宋体"/>
          <w:sz w:val="28"/>
          <w:szCs w:val="28"/>
        </w:rPr>
        <w:t>7</w:t>
      </w:r>
      <w:r>
        <w:rPr>
          <w:rFonts w:ascii="宋体" w:hAnsi="宋体"/>
          <w:sz w:val="28"/>
          <w:szCs w:val="28"/>
        </w:rPr>
        <w:t>-201</w:t>
      </w:r>
      <w:r>
        <w:rPr>
          <w:rFonts w:hint="eastAsia" w:ascii="宋体" w:hAnsi="宋体"/>
          <w:sz w:val="28"/>
          <w:szCs w:val="28"/>
        </w:rPr>
        <w:t>8</w:t>
      </w:r>
      <w:r>
        <w:rPr>
          <w:rFonts w:ascii="宋体" w:hAnsi="宋体"/>
          <w:sz w:val="28"/>
          <w:szCs w:val="28"/>
        </w:rPr>
        <w:t>学年学校针对所有不同专业开设了《</w:t>
      </w:r>
      <w:r>
        <w:rPr>
          <w:rFonts w:hint="eastAsia" w:ascii="宋体" w:hAnsi="宋体"/>
          <w:sz w:val="28"/>
          <w:szCs w:val="28"/>
        </w:rPr>
        <w:t>医药营销与创业基础</w:t>
      </w:r>
      <w:r>
        <w:rPr>
          <w:rFonts w:ascii="宋体" w:hAnsi="宋体"/>
          <w:sz w:val="28"/>
          <w:szCs w:val="28"/>
        </w:rPr>
        <w:t>》、《大学生创业基础》、《医药创业基础》等必修课程。为丰富创新创业课程资源，学校还引进了1</w:t>
      </w:r>
      <w:r>
        <w:rPr>
          <w:rFonts w:hint="eastAsia" w:ascii="宋体" w:hAnsi="宋体"/>
          <w:sz w:val="28"/>
          <w:szCs w:val="28"/>
        </w:rPr>
        <w:t>9</w:t>
      </w:r>
      <w:r>
        <w:rPr>
          <w:rFonts w:ascii="宋体" w:hAnsi="宋体"/>
          <w:sz w:val="28"/>
          <w:szCs w:val="28"/>
        </w:rPr>
        <w:t>门关于创新创业网络在线课程作为全校选修课，选课人数达</w:t>
      </w:r>
      <w:r>
        <w:rPr>
          <w:rFonts w:hint="eastAsia" w:ascii="宋体" w:hAnsi="宋体"/>
          <w:sz w:val="28"/>
          <w:szCs w:val="28"/>
        </w:rPr>
        <w:t>748</w:t>
      </w:r>
      <w:r>
        <w:rPr>
          <w:rFonts w:ascii="宋体" w:hAnsi="宋体"/>
          <w:sz w:val="28"/>
          <w:szCs w:val="28"/>
        </w:rPr>
        <w:t>人次。</w:t>
      </w:r>
      <w:r>
        <w:rPr>
          <w:rFonts w:hint="eastAsia" w:ascii="宋体" w:hAnsi="宋体"/>
          <w:sz w:val="28"/>
          <w:szCs w:val="28"/>
        </w:rPr>
        <w:t>此外，学校组织创新创业大讲堂，邀请行业企业专家和成功人士来校讲座，激发学生创新创业热情。</w:t>
      </w:r>
    </w:p>
    <w:p>
      <w:pPr>
        <w:ind w:firstLine="560" w:firstLineChars="200"/>
        <w:rPr>
          <w:rFonts w:ascii="宋体" w:hAnsi="宋体"/>
          <w:sz w:val="28"/>
          <w:szCs w:val="28"/>
        </w:rPr>
      </w:pPr>
      <w:r>
        <w:rPr>
          <w:rFonts w:hint="eastAsia" w:ascii="宋体" w:hAnsi="宋体"/>
          <w:sz w:val="28"/>
          <w:szCs w:val="28"/>
        </w:rPr>
        <w:t>2.</w:t>
      </w:r>
      <w:r>
        <w:rPr>
          <w:rFonts w:ascii="宋体" w:hAnsi="宋体"/>
          <w:sz w:val="28"/>
          <w:szCs w:val="28"/>
        </w:rPr>
        <w:t>学生创新</w:t>
      </w:r>
      <w:r>
        <w:rPr>
          <w:rFonts w:hint="eastAsia" w:ascii="宋体" w:hAnsi="宋体"/>
          <w:sz w:val="28"/>
          <w:szCs w:val="28"/>
        </w:rPr>
        <w:t>实践</w:t>
      </w:r>
    </w:p>
    <w:p>
      <w:pPr>
        <w:ind w:firstLine="560" w:firstLineChars="200"/>
        <w:rPr>
          <w:rFonts w:ascii="宋体" w:hAnsi="宋体"/>
          <w:sz w:val="28"/>
          <w:szCs w:val="28"/>
        </w:rPr>
      </w:pPr>
      <w:r>
        <w:rPr>
          <w:rFonts w:ascii="宋体" w:hAnsi="宋体"/>
          <w:sz w:val="28"/>
          <w:szCs w:val="28"/>
        </w:rPr>
        <w:t>201</w:t>
      </w:r>
      <w:r>
        <w:rPr>
          <w:rFonts w:hint="eastAsia" w:ascii="宋体" w:hAnsi="宋体"/>
          <w:sz w:val="28"/>
          <w:szCs w:val="28"/>
        </w:rPr>
        <w:t>7-</w:t>
      </w:r>
      <w:r>
        <w:rPr>
          <w:rFonts w:ascii="宋体" w:hAnsi="宋体"/>
          <w:sz w:val="28"/>
          <w:szCs w:val="28"/>
        </w:rPr>
        <w:t>201</w:t>
      </w:r>
      <w:r>
        <w:rPr>
          <w:rFonts w:hint="eastAsia" w:ascii="宋体" w:hAnsi="宋体"/>
          <w:sz w:val="28"/>
          <w:szCs w:val="28"/>
        </w:rPr>
        <w:t>8</w:t>
      </w:r>
      <w:r>
        <w:rPr>
          <w:rFonts w:ascii="宋体" w:hAnsi="宋体"/>
          <w:sz w:val="28"/>
          <w:szCs w:val="28"/>
        </w:rPr>
        <w:t>学年，学</w:t>
      </w:r>
      <w:r>
        <w:rPr>
          <w:rFonts w:hint="eastAsia" w:ascii="宋体" w:hAnsi="宋体"/>
          <w:sz w:val="28"/>
          <w:szCs w:val="28"/>
        </w:rPr>
        <w:t>校组织</w:t>
      </w:r>
      <w:r>
        <w:rPr>
          <w:rFonts w:ascii="宋体" w:hAnsi="宋体"/>
          <w:sz w:val="28"/>
          <w:szCs w:val="28"/>
        </w:rPr>
        <w:t>学生</w:t>
      </w:r>
      <w:r>
        <w:rPr>
          <w:rFonts w:hint="eastAsia" w:ascii="宋体" w:hAnsi="宋体"/>
          <w:sz w:val="28"/>
          <w:szCs w:val="28"/>
        </w:rPr>
        <w:t>参加各类竞赛，以赛促学，本年度学生竞赛成绩显著提高，在第四届中国“互联网+”大学生创新创业大赛重庆选拔赛中取得一等奖2名、二等奖1名，重庆市第二届“渝创渝新”中华职业教育创新创业大赛中取得二等奖1名、三等奖2名等。</w:t>
      </w:r>
    </w:p>
    <w:p>
      <w:pPr>
        <w:ind w:firstLine="560" w:firstLineChars="200"/>
        <w:rPr>
          <w:rFonts w:ascii="宋体" w:hAnsi="宋体"/>
          <w:sz w:val="28"/>
          <w:szCs w:val="28"/>
        </w:rPr>
      </w:pPr>
      <w:r>
        <w:rPr>
          <w:rFonts w:hint="eastAsia" w:ascii="宋体" w:hAnsi="宋体"/>
          <w:sz w:val="28"/>
          <w:szCs w:val="28"/>
        </w:rPr>
        <w:t>3.创业平台建设</w:t>
      </w:r>
    </w:p>
    <w:p>
      <w:pPr>
        <w:ind w:firstLine="560" w:firstLineChars="200"/>
        <w:rPr>
          <w:rFonts w:ascii="宋体" w:hAnsi="宋体"/>
          <w:sz w:val="28"/>
          <w:szCs w:val="28"/>
        </w:rPr>
      </w:pPr>
      <w:r>
        <w:rPr>
          <w:rFonts w:hint="eastAsia" w:ascii="宋体" w:hAnsi="宋体"/>
          <w:sz w:val="28"/>
          <w:szCs w:val="28"/>
        </w:rPr>
        <w:t>学校创业平台—生物医药众创天地获重庆市科委、重庆市教委立项建设，主要为学生提供创业场地、咨询、培育、孵化等服务。线下面积1554.54平方米，设有商务洽谈室、商务接待室、众创空间管理办公室、创新创业培训室、项目路演室、创客团队办公室。学校安排专项资金用于众创空间建设，依托校企校地合作平台等多种方式向众创空间项目提供资金支持，同时获得市科委50万元、市教委50万元经费支持。我校众创空间聘请包括医学、药学、管理、生产、临床、检验、金融、财务等校内外导师200位，为入驻团队提供“一站式服务”。</w:t>
      </w:r>
      <w:r>
        <w:rPr>
          <w:rFonts w:ascii="宋体" w:hAnsi="宋体"/>
          <w:sz w:val="28"/>
          <w:szCs w:val="28"/>
        </w:rPr>
        <w:t>迄今为止，</w:t>
      </w:r>
      <w:r>
        <w:rPr>
          <w:rFonts w:hint="eastAsia" w:ascii="宋体" w:hAnsi="宋体"/>
          <w:sz w:val="28"/>
          <w:szCs w:val="28"/>
        </w:rPr>
        <w:t>已有42个团队入驻众创空间，有10个项目孵化注册成企业，入驻创客约500人。</w:t>
      </w:r>
    </w:p>
    <w:p>
      <w:pPr>
        <w:ind w:firstLine="560" w:firstLineChars="200"/>
        <w:rPr>
          <w:rFonts w:ascii="宋体" w:hAnsi="宋体"/>
          <w:sz w:val="28"/>
          <w:szCs w:val="28"/>
        </w:rPr>
      </w:pPr>
      <w:r>
        <w:rPr>
          <w:rFonts w:hint="eastAsia" w:ascii="宋体" w:hAnsi="宋体"/>
          <w:sz w:val="28"/>
          <w:szCs w:val="28"/>
        </w:rPr>
        <w:t>4.学生创业成效</w:t>
      </w:r>
    </w:p>
    <w:p>
      <w:pPr>
        <w:ind w:firstLine="560" w:firstLineChars="200"/>
        <w:rPr>
          <w:rFonts w:ascii="宋体" w:hAnsi="宋体"/>
          <w:sz w:val="28"/>
          <w:szCs w:val="28"/>
        </w:rPr>
      </w:pPr>
      <w:r>
        <w:rPr>
          <w:rFonts w:hint="eastAsia" w:ascii="宋体" w:hAnsi="宋体"/>
          <w:sz w:val="28"/>
          <w:szCs w:val="28"/>
        </w:rPr>
        <w:t>通过我校创业基地的培育和孵化，取得了一系列标志性成果。</w:t>
      </w:r>
    </w:p>
    <w:p>
      <w:pPr>
        <w:ind w:firstLine="560" w:firstLineChars="200"/>
        <w:rPr>
          <w:rFonts w:ascii="宋体" w:hAnsi="宋体"/>
          <w:sz w:val="28"/>
          <w:szCs w:val="28"/>
        </w:rPr>
      </w:pPr>
      <w:r>
        <w:rPr>
          <w:rFonts w:hint="eastAsia" w:ascii="宋体" w:hAnsi="宋体"/>
          <w:sz w:val="28"/>
          <w:szCs w:val="28"/>
        </w:rPr>
        <w:t>学校积极组织学生参加路演活动。2018年双创活动周-校内分会场11个创客团队、120名创客进行了现场展示和体验活动，吸引了近千名学生、市民驻足参观、咨询，为大众带来了丰富多彩的创意盛宴；在2018年创新创业项目路演遴选活动中，19支创客团队进行路演展示，参与师生200余人次。</w:t>
      </w:r>
    </w:p>
    <w:p>
      <w:pPr>
        <w:ind w:firstLine="560" w:firstLineChars="200"/>
        <w:rPr>
          <w:rFonts w:ascii="宋体" w:hAnsi="宋体"/>
          <w:sz w:val="28"/>
          <w:szCs w:val="28"/>
        </w:rPr>
      </w:pPr>
      <w:r>
        <w:rPr>
          <w:rFonts w:hint="eastAsia" w:ascii="宋体" w:hAnsi="宋体"/>
          <w:sz w:val="28"/>
          <w:szCs w:val="28"/>
        </w:rPr>
        <w:t>我校积极开展GYB创业培训。2018年共开展6期GYB培训，使得360名在校生获得重庆市人力资源和社会保障局颁发的《重庆市创业培训合格证书》。让学员们树立正确的创业意识，培养创业素质，挖掘创业潜力，激发创业热情，了解自主创业所应具备的基本条件及相关法律法规。</w:t>
      </w:r>
    </w:p>
    <w:p>
      <w:pPr>
        <w:ind w:firstLine="560" w:firstLineChars="200"/>
        <w:rPr>
          <w:rFonts w:ascii="宋体" w:hAnsi="宋体"/>
          <w:sz w:val="28"/>
          <w:szCs w:val="28"/>
        </w:rPr>
      </w:pPr>
      <w:r>
        <w:rPr>
          <w:rFonts w:hint="eastAsia" w:ascii="宋体" w:hAnsi="宋体"/>
          <w:sz w:val="28"/>
          <w:szCs w:val="28"/>
        </w:rPr>
        <w:t>我校对入驻创业项目提供一站式服务。定期开展“导师问诊”活动，2018年累计服务人数达300人次。通过我校生物医药众创天地的孵化，已有10个项目孵化注册成企业，开始进行市场运营且取得了一定的经济、社会效益。</w:t>
      </w:r>
    </w:p>
    <w:p>
      <w:pPr>
        <w:pStyle w:val="3"/>
      </w:pPr>
      <w:bookmarkStart w:id="15" w:name="_Toc533510635"/>
      <w:r>
        <w:rPr>
          <w:rFonts w:hint="eastAsia"/>
        </w:rPr>
        <w:t>四、运用信息技术手段，搭建多元就业平台</w:t>
      </w:r>
      <w:bookmarkEnd w:id="15"/>
    </w:p>
    <w:p>
      <w:pPr>
        <w:autoSpaceDE w:val="0"/>
        <w:autoSpaceDN w:val="0"/>
        <w:adjustRightInd w:val="0"/>
        <w:ind w:firstLine="560" w:firstLineChars="200"/>
        <w:rPr>
          <w:rFonts w:asciiTheme="minorEastAsia" w:hAnsiTheme="minorEastAsia"/>
          <w:sz w:val="28"/>
          <w:szCs w:val="28"/>
        </w:rPr>
      </w:pPr>
      <w:r>
        <w:rPr>
          <w:rFonts w:hint="eastAsia" w:asciiTheme="minorEastAsia" w:hAnsiTheme="minorEastAsia"/>
          <w:sz w:val="28"/>
          <w:szCs w:val="28"/>
        </w:rPr>
        <w:t>大力推进毕业生就业信息化建设，着力提高就业供求信息的真实性、可靠性和可用性，提高就业信息服务质量。</w:t>
      </w:r>
    </w:p>
    <w:p>
      <w:pPr>
        <w:autoSpaceDE w:val="0"/>
        <w:autoSpaceDN w:val="0"/>
        <w:adjustRightInd w:val="0"/>
        <w:ind w:firstLine="560" w:firstLineChars="200"/>
        <w:rPr>
          <w:rFonts w:asciiTheme="minorEastAsia" w:hAnsiTheme="minorEastAsia"/>
          <w:sz w:val="28"/>
          <w:szCs w:val="28"/>
        </w:rPr>
      </w:pPr>
      <w:r>
        <w:rPr>
          <w:rFonts w:hint="eastAsia" w:asciiTheme="minorEastAsia" w:hAnsiTheme="minorEastAsia"/>
          <w:sz w:val="28"/>
          <w:szCs w:val="28"/>
        </w:rPr>
        <w:t>1.在学校官方网站开辟就业专栏，建立毕业生就业系统，对接重庆市大学中专毕业生就业系统，动态更新毕业生就业数据，实现校级数据、市级数据与教育部数据三统一。创建毕业生就业工作人员QQ群，毕业生QQ群，将最新就业政策、就业工作情况、供需信息等及时发布，实现就业信息的充分共享。</w:t>
      </w:r>
    </w:p>
    <w:p>
      <w:pPr>
        <w:autoSpaceDE w:val="0"/>
        <w:autoSpaceDN w:val="0"/>
        <w:adjustRightInd w:val="0"/>
        <w:ind w:firstLine="560" w:firstLineChars="200"/>
        <w:rPr>
          <w:rFonts w:asciiTheme="minorEastAsia" w:hAnsiTheme="minorEastAsia"/>
          <w:sz w:val="28"/>
          <w:szCs w:val="28"/>
        </w:rPr>
      </w:pPr>
      <w:r>
        <w:rPr>
          <w:rFonts w:hint="eastAsia" w:asciiTheme="minorEastAsia" w:hAnsiTheme="minorEastAsia"/>
          <w:sz w:val="28"/>
          <w:szCs w:val="28"/>
        </w:rPr>
        <w:t>2.根据教育部提出“互联网+就业”新模式的工作要求，启动重庆市大学生就业信息（二期）平台。2</w:t>
      </w:r>
      <w:r>
        <w:rPr>
          <w:rFonts w:asciiTheme="minorEastAsia" w:hAnsiTheme="minorEastAsia"/>
          <w:sz w:val="28"/>
          <w:szCs w:val="28"/>
        </w:rPr>
        <w:t>018</w:t>
      </w:r>
      <w:r>
        <w:rPr>
          <w:rFonts w:hint="eastAsia" w:asciiTheme="minorEastAsia" w:hAnsiTheme="minorEastAsia"/>
          <w:sz w:val="28"/>
          <w:szCs w:val="28"/>
        </w:rPr>
        <w:t>年实现了毕业生网上在线填报1</w:t>
      </w:r>
      <w:r>
        <w:rPr>
          <w:rFonts w:asciiTheme="minorEastAsia" w:hAnsiTheme="minorEastAsia"/>
          <w:sz w:val="28"/>
          <w:szCs w:val="28"/>
        </w:rPr>
        <w:t>6000</w:t>
      </w:r>
      <w:r>
        <w:rPr>
          <w:rFonts w:hint="eastAsia" w:asciiTheme="minorEastAsia" w:hAnsiTheme="minorEastAsia"/>
          <w:sz w:val="28"/>
          <w:szCs w:val="28"/>
        </w:rPr>
        <w:t>余条基础信息和8</w:t>
      </w:r>
      <w:r>
        <w:rPr>
          <w:rFonts w:asciiTheme="minorEastAsia" w:hAnsiTheme="minorEastAsia"/>
          <w:sz w:val="28"/>
          <w:szCs w:val="28"/>
        </w:rPr>
        <w:t>000</w:t>
      </w:r>
      <w:r>
        <w:rPr>
          <w:rFonts w:hint="eastAsia" w:asciiTheme="minorEastAsia" w:hAnsiTheme="minorEastAsia"/>
          <w:sz w:val="28"/>
          <w:szCs w:val="28"/>
        </w:rPr>
        <w:t>余条就业信息，发布</w:t>
      </w:r>
      <w:r>
        <w:rPr>
          <w:rFonts w:asciiTheme="minorEastAsia" w:hAnsiTheme="minorEastAsia"/>
          <w:sz w:val="28"/>
          <w:szCs w:val="28"/>
        </w:rPr>
        <w:t>3000</w:t>
      </w:r>
      <w:r>
        <w:rPr>
          <w:rFonts w:hint="eastAsia" w:asciiTheme="minorEastAsia" w:hAnsiTheme="minorEastAsia"/>
          <w:sz w:val="28"/>
          <w:szCs w:val="28"/>
        </w:rPr>
        <w:t>余份求职简历，签订4</w:t>
      </w:r>
      <w:r>
        <w:rPr>
          <w:rFonts w:asciiTheme="minorEastAsia" w:hAnsiTheme="minorEastAsia"/>
          <w:sz w:val="28"/>
          <w:szCs w:val="28"/>
        </w:rPr>
        <w:t>000</w:t>
      </w:r>
      <w:r>
        <w:rPr>
          <w:rFonts w:hint="eastAsia" w:asciiTheme="minorEastAsia" w:hAnsiTheme="minorEastAsia"/>
          <w:sz w:val="28"/>
          <w:szCs w:val="28"/>
        </w:rPr>
        <w:t>余份就业协议书。平台的使用降低毕业生就业成本，提高求职成功率；切实减少学校采集毕业生就业数据的工作量，缩短毕业生状况反馈的时间，提高就业信息化程度与水平。</w:t>
      </w:r>
    </w:p>
    <w:p>
      <w:pPr>
        <w:autoSpaceDE w:val="0"/>
        <w:autoSpaceDN w:val="0"/>
        <w:adjustRightInd w:val="0"/>
        <w:ind w:firstLine="560" w:firstLineChars="200"/>
        <w:rPr>
          <w:rFonts w:asciiTheme="minorEastAsia" w:hAnsiTheme="minorEastAsia"/>
          <w:sz w:val="28"/>
          <w:szCs w:val="28"/>
        </w:rPr>
      </w:pPr>
      <w:r>
        <w:rPr>
          <w:rFonts w:hint="eastAsia" w:asciiTheme="minorEastAsia" w:hAnsiTheme="minorEastAsia"/>
          <w:sz w:val="28"/>
          <w:szCs w:val="28"/>
        </w:rPr>
        <w:t>3.拟搭建校企网络服务平台，及时提供就业信息。建立企业圈，开展常态化交流，与100余家用人单位建立长效合作机制。通过网络平台与用人单位保持密切联系，实时向毕业生公开发布就业信息，动态掌握毕业生就业情况。2018年为毕业生提供900余个就业岗位，切实解决100余名毕业生的就业问题。</w:t>
      </w:r>
    </w:p>
    <w:p>
      <w:pPr>
        <w:pStyle w:val="3"/>
      </w:pPr>
      <w:bookmarkStart w:id="16" w:name="_Toc533510636"/>
      <w:r>
        <w:rPr>
          <w:rFonts w:hint="eastAsia"/>
        </w:rPr>
        <w:t>五、挖掘行业优势资源，提供优质就业岗位</w:t>
      </w:r>
      <w:bookmarkEnd w:id="16"/>
    </w:p>
    <w:p>
      <w:pPr>
        <w:autoSpaceDE w:val="0"/>
        <w:autoSpaceDN w:val="0"/>
        <w:adjustRightInd w:val="0"/>
        <w:ind w:firstLine="560" w:firstLineChars="200"/>
        <w:rPr>
          <w:rFonts w:asciiTheme="minorEastAsia" w:hAnsiTheme="minorEastAsia"/>
          <w:sz w:val="28"/>
          <w:szCs w:val="28"/>
        </w:rPr>
      </w:pPr>
      <w:r>
        <w:rPr>
          <w:rFonts w:hint="eastAsia" w:asciiTheme="minorEastAsia" w:hAnsiTheme="minorEastAsia"/>
          <w:sz w:val="28"/>
          <w:szCs w:val="28"/>
        </w:rPr>
        <w:t>结合新形势下“一带一路”、“长江经济带”、“京津翼协同发展”等国家重大发展战略，主动与沿海沿江经济带江苏、连云港、上海等地的</w:t>
      </w:r>
      <w:r>
        <w:rPr>
          <w:rFonts w:asciiTheme="minorEastAsia" w:hAnsiTheme="minorEastAsia"/>
          <w:sz w:val="28"/>
          <w:szCs w:val="28"/>
        </w:rPr>
        <w:t>10</w:t>
      </w:r>
      <w:r>
        <w:rPr>
          <w:rFonts w:hint="eastAsia" w:asciiTheme="minorEastAsia" w:hAnsiTheme="minorEastAsia"/>
          <w:sz w:val="28"/>
          <w:szCs w:val="28"/>
        </w:rPr>
        <w:t>余家重点企业展开市场拓展和回访调研工作。坚持“立足重庆，面向西部，辐射全国”的工作思路，向川渝两地医疗卫生、药品生产、经营、销售等企事业单位发送毕业生就业邀请函1200余份，走访用人单位200余家。2</w:t>
      </w:r>
      <w:r>
        <w:rPr>
          <w:rFonts w:asciiTheme="minorEastAsia" w:hAnsiTheme="minorEastAsia"/>
          <w:sz w:val="28"/>
          <w:szCs w:val="28"/>
        </w:rPr>
        <w:t>01</w:t>
      </w:r>
      <w:r>
        <w:rPr>
          <w:rFonts w:hint="eastAsia" w:asciiTheme="minorEastAsia" w:hAnsiTheme="minorEastAsia"/>
          <w:sz w:val="28"/>
          <w:szCs w:val="28"/>
        </w:rPr>
        <w:t>8年实现了</w:t>
      </w:r>
      <w:r>
        <w:rPr>
          <w:rFonts w:asciiTheme="minorEastAsia" w:hAnsiTheme="minorEastAsia"/>
          <w:sz w:val="28"/>
          <w:szCs w:val="28"/>
        </w:rPr>
        <w:t>514</w:t>
      </w:r>
      <w:r>
        <w:rPr>
          <w:rFonts w:hint="eastAsia" w:asciiTheme="minorEastAsia" w:hAnsiTheme="minorEastAsia"/>
          <w:sz w:val="28"/>
          <w:szCs w:val="28"/>
        </w:rPr>
        <w:t>个单位提供了</w:t>
      </w:r>
      <w:r>
        <w:rPr>
          <w:rFonts w:asciiTheme="minorEastAsia" w:hAnsiTheme="minorEastAsia"/>
          <w:sz w:val="28"/>
          <w:szCs w:val="28"/>
        </w:rPr>
        <w:t>12861</w:t>
      </w:r>
      <w:r>
        <w:rPr>
          <w:rFonts w:hint="eastAsia" w:asciiTheme="minorEastAsia" w:hAnsiTheme="minorEastAsia"/>
          <w:sz w:val="28"/>
          <w:szCs w:val="28"/>
        </w:rPr>
        <w:t>个就业岗位，超过毕业生人数。</w:t>
      </w:r>
    </w:p>
    <w:p>
      <w:pPr>
        <w:pStyle w:val="3"/>
      </w:pPr>
      <w:bookmarkStart w:id="17" w:name="_Toc533510637"/>
      <w:r>
        <w:rPr>
          <w:rFonts w:hint="eastAsia"/>
        </w:rPr>
        <w:t>六、加强内外多方联动，提升学生就业质量</w:t>
      </w:r>
      <w:bookmarkEnd w:id="17"/>
    </w:p>
    <w:p>
      <w:pPr>
        <w:ind w:firstLine="560" w:firstLineChars="200"/>
        <w:rPr>
          <w:rFonts w:asciiTheme="minorEastAsia" w:hAnsiTheme="minorEastAsia"/>
          <w:sz w:val="28"/>
          <w:szCs w:val="28"/>
        </w:rPr>
      </w:pPr>
      <w:r>
        <w:rPr>
          <w:rFonts w:hint="eastAsia" w:asciiTheme="minorEastAsia" w:hAnsiTheme="minorEastAsia"/>
          <w:sz w:val="28"/>
          <w:szCs w:val="28"/>
        </w:rPr>
        <w:t>1.学校充分发挥校园招聘的主渠道作用，坚持以“小型化、专题化、经常化、信息化”的就业工作思路，采取大型双选会和专场招聘会相结合，现场招聘与在线求职相结合的方式举行双选活动。2018年学校组织2场大型双选会和3</w:t>
      </w:r>
      <w:r>
        <w:rPr>
          <w:rFonts w:asciiTheme="minorEastAsia" w:hAnsiTheme="minorEastAsia"/>
          <w:sz w:val="28"/>
          <w:szCs w:val="28"/>
        </w:rPr>
        <w:t>0</w:t>
      </w:r>
      <w:r>
        <w:rPr>
          <w:rFonts w:hint="eastAsia" w:asciiTheme="minorEastAsia" w:hAnsiTheme="minorEastAsia"/>
          <w:sz w:val="28"/>
          <w:szCs w:val="28"/>
        </w:rPr>
        <w:t>余场专场招聘会，从申请参会的600余家用人单位中筛选出高质量的用人单位</w:t>
      </w:r>
      <w:r>
        <w:rPr>
          <w:rFonts w:asciiTheme="minorEastAsia" w:hAnsiTheme="minorEastAsia"/>
          <w:sz w:val="28"/>
          <w:szCs w:val="28"/>
        </w:rPr>
        <w:t>514</w:t>
      </w:r>
      <w:r>
        <w:rPr>
          <w:rFonts w:hint="eastAsia" w:asciiTheme="minorEastAsia" w:hAnsiTheme="minorEastAsia"/>
          <w:sz w:val="28"/>
          <w:szCs w:val="28"/>
        </w:rPr>
        <w:t>家，共为毕业生提供</w:t>
      </w:r>
      <w:r>
        <w:rPr>
          <w:rFonts w:asciiTheme="minorEastAsia" w:hAnsiTheme="minorEastAsia"/>
          <w:sz w:val="28"/>
          <w:szCs w:val="28"/>
        </w:rPr>
        <w:t>12861</w:t>
      </w:r>
      <w:r>
        <w:rPr>
          <w:rFonts w:hint="eastAsia" w:asciiTheme="minorEastAsia" w:hAnsiTheme="minorEastAsia"/>
          <w:sz w:val="28"/>
          <w:szCs w:val="28"/>
        </w:rPr>
        <w:t>个招聘岗位，其中医药卫生单位占比99%，岗位对口率98%。双选会现场毕业生投递简历</w:t>
      </w:r>
      <w:r>
        <w:rPr>
          <w:rFonts w:asciiTheme="minorEastAsia" w:hAnsiTheme="minorEastAsia"/>
          <w:sz w:val="28"/>
          <w:szCs w:val="28"/>
        </w:rPr>
        <w:t>6045</w:t>
      </w:r>
      <w:r>
        <w:rPr>
          <w:rFonts w:hint="eastAsia" w:asciiTheme="minorEastAsia" w:hAnsiTheme="minorEastAsia"/>
          <w:sz w:val="28"/>
          <w:szCs w:val="28"/>
        </w:rPr>
        <w:t>份，现场接到笔面试通知</w:t>
      </w:r>
      <w:r>
        <w:rPr>
          <w:rFonts w:asciiTheme="minorEastAsia" w:hAnsiTheme="minorEastAsia"/>
          <w:sz w:val="28"/>
          <w:szCs w:val="28"/>
        </w:rPr>
        <w:t>1245</w:t>
      </w:r>
      <w:r>
        <w:rPr>
          <w:rFonts w:hint="eastAsia" w:asciiTheme="minorEastAsia" w:hAnsiTheme="minorEastAsia"/>
          <w:sz w:val="28"/>
          <w:szCs w:val="28"/>
        </w:rPr>
        <w:t>个，岗位数与毕业生人数比为</w:t>
      </w:r>
      <w:r>
        <w:rPr>
          <w:rFonts w:asciiTheme="minorEastAsia" w:hAnsiTheme="minorEastAsia"/>
          <w:sz w:val="28"/>
          <w:szCs w:val="28"/>
        </w:rPr>
        <w:t>3</w:t>
      </w:r>
      <w:r>
        <w:rPr>
          <w:rFonts w:hint="eastAsia" w:asciiTheme="minorEastAsia" w:hAnsiTheme="minorEastAsia"/>
          <w:sz w:val="28"/>
          <w:szCs w:val="28"/>
        </w:rPr>
        <w:t>:1，超过重庆市教委规定的要求。</w:t>
      </w:r>
    </w:p>
    <w:p>
      <w:pPr>
        <w:autoSpaceDE w:val="0"/>
        <w:autoSpaceDN w:val="0"/>
        <w:adjustRightInd w:val="0"/>
        <w:ind w:firstLine="560" w:firstLineChars="200"/>
        <w:rPr>
          <w:rFonts w:asciiTheme="minorEastAsia" w:hAnsiTheme="minorEastAsia"/>
          <w:sz w:val="28"/>
          <w:szCs w:val="28"/>
        </w:rPr>
      </w:pPr>
      <w:r>
        <w:rPr>
          <w:rFonts w:hint="eastAsia" w:asciiTheme="minorEastAsia" w:hAnsiTheme="minorEastAsia"/>
          <w:sz w:val="28"/>
          <w:szCs w:val="28"/>
        </w:rPr>
        <w:t>2.开辟校外双选市场。组织2000余名毕业生参加8场由重庆市教委、重庆市人才交流中心、兄弟院校等举办的大型医药类专场招聘会,100余名毕业生与用人单位成功签订就业协议书。</w:t>
      </w:r>
    </w:p>
    <w:p>
      <w:pPr>
        <w:pStyle w:val="3"/>
      </w:pPr>
      <w:bookmarkStart w:id="18" w:name="_Toc533510638"/>
      <w:r>
        <w:rPr>
          <w:rFonts w:hint="eastAsia"/>
        </w:rPr>
        <w:t>七、完善实习管理制度，实现就业无缝对接</w:t>
      </w:r>
      <w:bookmarkEnd w:id="18"/>
    </w:p>
    <w:p>
      <w:pPr>
        <w:autoSpaceDE w:val="0"/>
        <w:autoSpaceDN w:val="0"/>
        <w:adjustRightInd w:val="0"/>
        <w:ind w:firstLine="560" w:firstLineChars="200"/>
        <w:rPr>
          <w:rFonts w:asciiTheme="minorEastAsia" w:hAnsiTheme="minorEastAsia"/>
          <w:sz w:val="28"/>
          <w:szCs w:val="28"/>
        </w:rPr>
      </w:pPr>
      <w:r>
        <w:rPr>
          <w:rFonts w:hint="eastAsia" w:asciiTheme="minorEastAsia" w:hAnsiTheme="minorEastAsia"/>
          <w:sz w:val="28"/>
          <w:szCs w:val="28"/>
        </w:rPr>
        <w:t>1.为贯彻落实教育部五部门制定的《职业学校学生实习管理规定》文件精神，学校组织专人修订了《重庆医药高等专科学校《学生实习管理办法》，全面系统的规范了学生的认识、跟岗和顶岗实习工作，进一步明确了学生、学校、实习单位的职责和权利，强化了学校和实习单位的管理措施，提高了学生的培养质量，实现了部分学生实习即就业的零距离对接。</w:t>
      </w:r>
    </w:p>
    <w:p>
      <w:pPr>
        <w:ind w:firstLine="560" w:firstLineChars="200"/>
        <w:rPr>
          <w:rFonts w:asciiTheme="minorEastAsia" w:hAnsiTheme="minorEastAsia"/>
          <w:sz w:val="28"/>
          <w:szCs w:val="28"/>
        </w:rPr>
      </w:pPr>
      <w:r>
        <w:rPr>
          <w:rFonts w:hint="eastAsia" w:asciiTheme="minorEastAsia" w:hAnsiTheme="minorEastAsia"/>
          <w:sz w:val="28"/>
          <w:szCs w:val="28"/>
        </w:rPr>
        <w:t>2.学校高度重视顶岗实习基地遴选工作，2</w:t>
      </w:r>
      <w:r>
        <w:rPr>
          <w:rFonts w:asciiTheme="minorEastAsia" w:hAnsiTheme="minorEastAsia"/>
          <w:sz w:val="28"/>
          <w:szCs w:val="28"/>
        </w:rPr>
        <w:t>018</w:t>
      </w:r>
      <w:r>
        <w:rPr>
          <w:rFonts w:hint="eastAsia" w:asciiTheme="minorEastAsia" w:hAnsiTheme="minorEastAsia"/>
          <w:sz w:val="28"/>
          <w:szCs w:val="28"/>
        </w:rPr>
        <w:t>年由招生就业处牵头、各院（部）负责人和工作人员前往各相关用人单位进行实地考察，严格按照学校制定的人才培养方案，对实习生在实习单位的的教学计划、教学任务的执行，工作时间安排，排班轮休、请假事宜、转岗异动、住宿等相关事宜，进行深入探讨交流，并签订顶岗实习基地协议，2</w:t>
      </w:r>
      <w:r>
        <w:rPr>
          <w:rFonts w:asciiTheme="minorEastAsia" w:hAnsiTheme="minorEastAsia"/>
          <w:sz w:val="28"/>
          <w:szCs w:val="28"/>
        </w:rPr>
        <w:t>018</w:t>
      </w:r>
      <w:r>
        <w:rPr>
          <w:rFonts w:hint="eastAsia" w:asciiTheme="minorEastAsia" w:hAnsiTheme="minorEastAsia"/>
          <w:sz w:val="28"/>
          <w:szCs w:val="28"/>
        </w:rPr>
        <w:t>年新增顶岗实习基地</w:t>
      </w:r>
      <w:r>
        <w:rPr>
          <w:rFonts w:asciiTheme="minorEastAsia" w:hAnsiTheme="minorEastAsia"/>
          <w:sz w:val="28"/>
          <w:szCs w:val="28"/>
        </w:rPr>
        <w:t>3</w:t>
      </w:r>
      <w:r>
        <w:rPr>
          <w:rFonts w:hint="eastAsia" w:asciiTheme="minorEastAsia" w:hAnsiTheme="minorEastAsia"/>
          <w:sz w:val="28"/>
          <w:szCs w:val="28"/>
        </w:rPr>
        <w:t>家。</w:t>
      </w:r>
    </w:p>
    <w:p>
      <w:pPr>
        <w:autoSpaceDE w:val="0"/>
        <w:autoSpaceDN w:val="0"/>
        <w:adjustRightInd w:val="0"/>
        <w:ind w:firstLine="560" w:firstLineChars="200"/>
        <w:rPr>
          <w:rFonts w:asciiTheme="minorEastAsia" w:hAnsiTheme="minorEastAsia"/>
          <w:sz w:val="28"/>
          <w:szCs w:val="28"/>
        </w:rPr>
      </w:pPr>
      <w:r>
        <w:rPr>
          <w:rFonts w:hint="eastAsia" w:asciiTheme="minorEastAsia" w:hAnsiTheme="minorEastAsia"/>
          <w:sz w:val="28"/>
          <w:szCs w:val="28"/>
        </w:rPr>
        <w:t>3</w:t>
      </w:r>
      <w:r>
        <w:rPr>
          <w:rFonts w:asciiTheme="minorEastAsia" w:hAnsiTheme="minorEastAsia"/>
          <w:sz w:val="28"/>
          <w:szCs w:val="28"/>
        </w:rPr>
        <w:t>.</w:t>
      </w:r>
      <w:r>
        <w:rPr>
          <w:rFonts w:hint="eastAsia" w:asciiTheme="minorEastAsia" w:hAnsiTheme="minorEastAsia"/>
          <w:sz w:val="28"/>
          <w:szCs w:val="28"/>
        </w:rPr>
        <w:t>组织“2</w:t>
      </w:r>
      <w:r>
        <w:rPr>
          <w:rFonts w:asciiTheme="minorEastAsia" w:hAnsiTheme="minorEastAsia"/>
          <w:sz w:val="28"/>
          <w:szCs w:val="28"/>
        </w:rPr>
        <w:t>019</w:t>
      </w:r>
      <w:r>
        <w:rPr>
          <w:rFonts w:hint="eastAsia" w:asciiTheme="minorEastAsia" w:hAnsiTheme="minorEastAsia"/>
          <w:sz w:val="28"/>
          <w:szCs w:val="28"/>
        </w:rPr>
        <w:t>届毕业生顶岗实习双选会”，招聘单位涵盖市内外各级医院，医疗卫生、药品生产、经营、销售等企事业单位，涉及药学、医疗美容、医疗电子仪器等1</w:t>
      </w:r>
      <w:r>
        <w:rPr>
          <w:rFonts w:asciiTheme="minorEastAsia" w:hAnsiTheme="minorEastAsia"/>
          <w:sz w:val="28"/>
          <w:szCs w:val="28"/>
        </w:rPr>
        <w:t>0</w:t>
      </w:r>
      <w:r>
        <w:rPr>
          <w:rFonts w:hint="eastAsia" w:asciiTheme="minorEastAsia" w:hAnsiTheme="minorEastAsia"/>
          <w:sz w:val="28"/>
          <w:szCs w:val="28"/>
        </w:rPr>
        <w:t>个专业，</w:t>
      </w:r>
      <w:r>
        <w:rPr>
          <w:rFonts w:asciiTheme="minorEastAsia" w:hAnsiTheme="minorEastAsia"/>
          <w:sz w:val="28"/>
          <w:szCs w:val="28"/>
        </w:rPr>
        <w:t>106</w:t>
      </w:r>
      <w:r>
        <w:rPr>
          <w:rFonts w:hint="eastAsia" w:asciiTheme="minorEastAsia" w:hAnsiTheme="minorEastAsia"/>
          <w:sz w:val="28"/>
          <w:szCs w:val="28"/>
        </w:rPr>
        <w:t>家招聘单位为顶岗实习学生提供3</w:t>
      </w:r>
      <w:r>
        <w:rPr>
          <w:rFonts w:asciiTheme="minorEastAsia" w:hAnsiTheme="minorEastAsia"/>
          <w:sz w:val="28"/>
          <w:szCs w:val="28"/>
        </w:rPr>
        <w:t>191</w:t>
      </w:r>
      <w:r>
        <w:rPr>
          <w:rFonts w:hint="eastAsia" w:asciiTheme="minorEastAsia" w:hAnsiTheme="minorEastAsia"/>
          <w:sz w:val="28"/>
          <w:szCs w:val="28"/>
        </w:rPr>
        <w:t>个实习岗位，岗位数与毕业生人数比为</w:t>
      </w:r>
      <w:r>
        <w:rPr>
          <w:rFonts w:asciiTheme="minorEastAsia" w:hAnsiTheme="minorEastAsia"/>
          <w:sz w:val="28"/>
          <w:szCs w:val="28"/>
        </w:rPr>
        <w:t>3</w:t>
      </w:r>
      <w:r>
        <w:rPr>
          <w:rFonts w:hint="eastAsia" w:asciiTheme="minorEastAsia" w:hAnsiTheme="minorEastAsia"/>
          <w:sz w:val="28"/>
          <w:szCs w:val="28"/>
        </w:rPr>
        <w:t>.</w:t>
      </w:r>
      <w:r>
        <w:rPr>
          <w:rFonts w:asciiTheme="minorEastAsia" w:hAnsiTheme="minorEastAsia"/>
          <w:sz w:val="28"/>
          <w:szCs w:val="28"/>
        </w:rPr>
        <w:t>4</w:t>
      </w:r>
      <w:r>
        <w:rPr>
          <w:rFonts w:hint="eastAsia" w:asciiTheme="minorEastAsia" w:hAnsiTheme="minorEastAsia"/>
          <w:sz w:val="28"/>
          <w:szCs w:val="28"/>
        </w:rPr>
        <w:t>比1，超过市教委要求。</w:t>
      </w:r>
    </w:p>
    <w:p>
      <w:pPr>
        <w:pStyle w:val="3"/>
      </w:pPr>
      <w:bookmarkStart w:id="19" w:name="_Toc533510639"/>
      <w:r>
        <w:rPr>
          <w:rFonts w:hint="eastAsia"/>
        </w:rPr>
        <w:t>八、深化产教融合理念，创新人才培养模式</w:t>
      </w:r>
      <w:bookmarkEnd w:id="19"/>
    </w:p>
    <w:p>
      <w:pPr>
        <w:ind w:firstLine="551" w:firstLineChars="197"/>
        <w:rPr>
          <w:rFonts w:ascii="宋体" w:hAnsi="宋体"/>
          <w:sz w:val="28"/>
          <w:szCs w:val="28"/>
        </w:rPr>
      </w:pPr>
      <w:r>
        <w:rPr>
          <w:rFonts w:hint="eastAsia" w:asciiTheme="minorEastAsia" w:hAnsiTheme="minorEastAsia"/>
          <w:sz w:val="28"/>
          <w:szCs w:val="28"/>
        </w:rPr>
        <w:t>学校深化“产教融合、校企合作”办学模式改革，积极开发选择合作企业。201</w:t>
      </w:r>
      <w:r>
        <w:rPr>
          <w:rFonts w:asciiTheme="minorEastAsia" w:hAnsiTheme="minorEastAsia"/>
          <w:sz w:val="28"/>
          <w:szCs w:val="28"/>
        </w:rPr>
        <w:t>8</w:t>
      </w:r>
      <w:r>
        <w:rPr>
          <w:rFonts w:hint="eastAsia" w:asciiTheme="minorEastAsia" w:hAnsiTheme="minorEastAsia"/>
          <w:sz w:val="28"/>
          <w:szCs w:val="28"/>
        </w:rPr>
        <w:t>年与</w:t>
      </w:r>
      <w:r>
        <w:rPr>
          <w:rFonts w:hint="eastAsia" w:ascii="宋体" w:hAnsi="宋体"/>
          <w:sz w:val="28"/>
          <w:szCs w:val="28"/>
        </w:rPr>
        <w:t>云南健之佳健康连锁店股份有限公司</w:t>
      </w:r>
      <w:r>
        <w:rPr>
          <w:rFonts w:hint="eastAsia" w:asciiTheme="minorEastAsia" w:hAnsiTheme="minorEastAsia"/>
          <w:sz w:val="28"/>
          <w:szCs w:val="28"/>
        </w:rPr>
        <w:t>签订联合办学协议，成立“健之佳学院”，开办“健之佳金牌店长班”，</w:t>
      </w:r>
      <w:r>
        <w:rPr>
          <w:rFonts w:hint="eastAsia" w:ascii="宋体" w:hAnsi="宋体"/>
          <w:sz w:val="28"/>
          <w:szCs w:val="28"/>
        </w:rPr>
        <w:t>向“</w:t>
      </w:r>
      <w:r>
        <w:rPr>
          <w:rFonts w:hint="eastAsia" w:asciiTheme="minorEastAsia" w:hAnsiTheme="minorEastAsia"/>
          <w:sz w:val="28"/>
          <w:szCs w:val="28"/>
        </w:rPr>
        <w:t>健之佳金牌店长班</w:t>
      </w:r>
      <w:r>
        <w:rPr>
          <w:rFonts w:hint="eastAsia" w:ascii="宋体" w:hAnsi="宋体"/>
          <w:sz w:val="28"/>
          <w:szCs w:val="28"/>
        </w:rPr>
        <w:t>”学生支付生活补贴200元/月·人，每年9</w:t>
      </w:r>
      <w:r>
        <w:rPr>
          <w:rFonts w:hint="eastAsia" w:asciiTheme="minorEastAsia" w:hAnsiTheme="minorEastAsia"/>
          <w:sz w:val="28"/>
          <w:szCs w:val="28"/>
        </w:rPr>
        <w:t>个月；</w:t>
      </w:r>
      <w:r>
        <w:rPr>
          <w:rFonts w:hint="eastAsia" w:ascii="宋体" w:hAnsi="宋体"/>
          <w:sz w:val="28"/>
          <w:szCs w:val="28"/>
        </w:rPr>
        <w:t>设立“</w:t>
      </w:r>
      <w:r>
        <w:rPr>
          <w:rFonts w:hint="eastAsia" w:asciiTheme="minorEastAsia" w:hAnsiTheme="minorEastAsia"/>
          <w:sz w:val="28"/>
          <w:szCs w:val="28"/>
        </w:rPr>
        <w:t>健之佳</w:t>
      </w:r>
      <w:r>
        <w:rPr>
          <w:rFonts w:hint="eastAsia" w:ascii="宋体" w:hAnsi="宋体"/>
          <w:sz w:val="28"/>
          <w:szCs w:val="28"/>
        </w:rPr>
        <w:t>奖学金”，额度为</w:t>
      </w:r>
      <w:r>
        <w:rPr>
          <w:rFonts w:hint="eastAsia" w:asciiTheme="minorEastAsia" w:hAnsiTheme="minorEastAsia"/>
          <w:sz w:val="28"/>
          <w:szCs w:val="28"/>
        </w:rPr>
        <w:t>2</w:t>
      </w:r>
      <w:r>
        <w:rPr>
          <w:rFonts w:hint="eastAsia" w:ascii="宋体" w:hAnsi="宋体"/>
          <w:sz w:val="28"/>
          <w:szCs w:val="28"/>
        </w:rPr>
        <w:t>万元/年，用于奖励</w:t>
      </w:r>
      <w:r>
        <w:rPr>
          <w:rFonts w:hint="eastAsia" w:asciiTheme="minorEastAsia" w:hAnsiTheme="minorEastAsia"/>
          <w:sz w:val="28"/>
          <w:szCs w:val="28"/>
        </w:rPr>
        <w:t>健之佳</w:t>
      </w:r>
      <w:r>
        <w:rPr>
          <w:rFonts w:hint="eastAsia" w:ascii="宋体" w:hAnsi="宋体"/>
          <w:sz w:val="28"/>
          <w:szCs w:val="28"/>
        </w:rPr>
        <w:t>班的优秀学生；设立“班级基金</w:t>
      </w:r>
      <w:r>
        <w:rPr>
          <w:rFonts w:ascii="宋体" w:hAnsi="宋体"/>
          <w:sz w:val="28"/>
          <w:szCs w:val="28"/>
        </w:rPr>
        <w:t>”</w:t>
      </w:r>
      <w:r>
        <w:rPr>
          <w:rFonts w:hint="eastAsia" w:asciiTheme="minorEastAsia" w:hAnsiTheme="minorEastAsia"/>
          <w:sz w:val="28"/>
          <w:szCs w:val="28"/>
        </w:rPr>
        <w:t>，</w:t>
      </w:r>
      <w:r>
        <w:rPr>
          <w:rFonts w:hint="eastAsia" w:ascii="宋体" w:hAnsi="宋体"/>
          <w:sz w:val="28"/>
          <w:szCs w:val="28"/>
        </w:rPr>
        <w:t>额度为</w:t>
      </w:r>
      <w:r>
        <w:rPr>
          <w:rFonts w:hint="eastAsia" w:asciiTheme="minorEastAsia" w:hAnsiTheme="minorEastAsia"/>
          <w:sz w:val="28"/>
          <w:szCs w:val="28"/>
        </w:rPr>
        <w:t>1</w:t>
      </w:r>
      <w:r>
        <w:rPr>
          <w:rFonts w:hint="eastAsia" w:ascii="宋体" w:hAnsi="宋体"/>
          <w:sz w:val="28"/>
          <w:szCs w:val="28"/>
        </w:rPr>
        <w:t>万元/年</w:t>
      </w:r>
      <w:r>
        <w:rPr>
          <w:rFonts w:hint="eastAsia" w:asciiTheme="minorEastAsia" w:hAnsiTheme="minorEastAsia"/>
          <w:sz w:val="28"/>
          <w:szCs w:val="28"/>
        </w:rPr>
        <w:t>，</w:t>
      </w:r>
      <w:r>
        <w:rPr>
          <w:rFonts w:hint="eastAsia" w:ascii="宋体" w:hAnsi="宋体"/>
          <w:sz w:val="28"/>
          <w:szCs w:val="28"/>
        </w:rPr>
        <w:t>用于班级建设、班级活动等</w:t>
      </w:r>
      <w:r>
        <w:rPr>
          <w:rFonts w:hint="eastAsia" w:asciiTheme="minorEastAsia" w:hAnsiTheme="minorEastAsia"/>
          <w:sz w:val="28"/>
          <w:szCs w:val="28"/>
        </w:rPr>
        <w:t>；</w:t>
      </w:r>
      <w:r>
        <w:rPr>
          <w:rFonts w:hint="eastAsia" w:ascii="宋体" w:hAnsi="宋体"/>
          <w:sz w:val="28"/>
          <w:szCs w:val="28"/>
        </w:rPr>
        <w:t>设立</w:t>
      </w:r>
      <w:r>
        <w:rPr>
          <w:rFonts w:hint="eastAsia" w:asciiTheme="minorEastAsia" w:hAnsiTheme="minorEastAsia"/>
          <w:sz w:val="28"/>
          <w:szCs w:val="28"/>
        </w:rPr>
        <w:t>“</w:t>
      </w:r>
      <w:r>
        <w:rPr>
          <w:rFonts w:hint="eastAsia" w:ascii="宋体" w:hAnsi="宋体"/>
          <w:sz w:val="28"/>
          <w:szCs w:val="28"/>
        </w:rPr>
        <w:t>勤工俭学助学基金</w:t>
      </w:r>
      <w:r>
        <w:rPr>
          <w:rFonts w:hint="eastAsia" w:asciiTheme="minorEastAsia" w:hAnsiTheme="minorEastAsia"/>
          <w:sz w:val="28"/>
          <w:szCs w:val="28"/>
        </w:rPr>
        <w:t>”，</w:t>
      </w:r>
      <w:r>
        <w:rPr>
          <w:rFonts w:hint="eastAsia" w:ascii="宋体" w:hAnsi="宋体"/>
          <w:sz w:val="28"/>
          <w:szCs w:val="28"/>
        </w:rPr>
        <w:t>用于资助</w:t>
      </w:r>
      <w:r>
        <w:rPr>
          <w:rFonts w:hint="eastAsia" w:asciiTheme="minorEastAsia" w:hAnsiTheme="minorEastAsia"/>
          <w:sz w:val="28"/>
          <w:szCs w:val="28"/>
        </w:rPr>
        <w:t>健之佳</w:t>
      </w:r>
      <w:r>
        <w:rPr>
          <w:rFonts w:hint="eastAsia" w:ascii="宋体" w:hAnsi="宋体"/>
          <w:sz w:val="28"/>
          <w:szCs w:val="28"/>
        </w:rPr>
        <w:t>班家庭困难且表现优秀</w:t>
      </w:r>
      <w:r>
        <w:rPr>
          <w:rFonts w:hint="eastAsia" w:asciiTheme="minorEastAsia" w:hAnsiTheme="minorEastAsia"/>
          <w:sz w:val="28"/>
          <w:szCs w:val="28"/>
        </w:rPr>
        <w:t>的学生</w:t>
      </w:r>
      <w:r>
        <w:rPr>
          <w:rFonts w:hint="eastAsia" w:ascii="宋体" w:hAnsi="宋体"/>
          <w:sz w:val="28"/>
          <w:szCs w:val="28"/>
        </w:rPr>
        <w:t>，额度为2.2万元/年。</w:t>
      </w:r>
    </w:p>
    <w:p>
      <w:pPr>
        <w:pStyle w:val="3"/>
      </w:pPr>
      <w:bookmarkStart w:id="20" w:name="_Toc533510640"/>
      <w:r>
        <w:rPr>
          <w:rFonts w:hint="eastAsia"/>
        </w:rPr>
        <w:t>九、积极引导学生基层就业，服务地区人才发展</w:t>
      </w:r>
      <w:bookmarkEnd w:id="20"/>
    </w:p>
    <w:p>
      <w:pPr>
        <w:autoSpaceDE w:val="0"/>
        <w:autoSpaceDN w:val="0"/>
        <w:adjustRightInd w:val="0"/>
        <w:ind w:firstLine="560" w:firstLineChars="200"/>
        <w:rPr>
          <w:rFonts w:asciiTheme="minorEastAsia" w:hAnsiTheme="minorEastAsia"/>
          <w:color w:val="FF0000"/>
          <w:sz w:val="28"/>
          <w:szCs w:val="28"/>
        </w:rPr>
      </w:pPr>
      <w:r>
        <w:rPr>
          <w:rFonts w:hint="eastAsia" w:asciiTheme="minorEastAsia" w:hAnsiTheme="minorEastAsia"/>
          <w:sz w:val="28"/>
          <w:szCs w:val="28"/>
        </w:rPr>
        <w:t>学校健全鼓励毕业生到基层就业的服务保障制度，落实和完善学费补偿和助学贷款代偿、后续升学等政策。广泛宣传扎根基层、建功立业的优秀毕业生典型，鼓励和引导毕业生转变就业观念，合理调整就业期望值，积极面向基层、面向中小微企业、面向非公有制企业就业。引导毕业生参加“大学生村官”、“三支一扶”、“医药卫生类事业单位公开招聘”等基层服务项目。201</w:t>
      </w:r>
      <w:r>
        <w:rPr>
          <w:rFonts w:asciiTheme="minorEastAsia" w:hAnsiTheme="minorEastAsia"/>
          <w:sz w:val="28"/>
          <w:szCs w:val="28"/>
        </w:rPr>
        <w:t>8</w:t>
      </w:r>
      <w:r>
        <w:rPr>
          <w:rFonts w:hint="eastAsia" w:asciiTheme="minorEastAsia" w:hAnsiTheme="minorEastAsia"/>
          <w:sz w:val="28"/>
          <w:szCs w:val="28"/>
        </w:rPr>
        <w:t>年毕业生在基层就业</w:t>
      </w:r>
      <w:r>
        <w:rPr>
          <w:rFonts w:asciiTheme="minorEastAsia" w:hAnsiTheme="minorEastAsia"/>
          <w:sz w:val="28"/>
          <w:szCs w:val="28"/>
        </w:rPr>
        <w:t>3569</w:t>
      </w:r>
      <w:r>
        <w:rPr>
          <w:rFonts w:hint="eastAsia" w:asciiTheme="minorEastAsia" w:hAnsiTheme="minorEastAsia"/>
          <w:sz w:val="28"/>
          <w:szCs w:val="28"/>
        </w:rPr>
        <w:t>人，占毕业生总数的</w:t>
      </w:r>
      <w:r>
        <w:rPr>
          <w:rFonts w:asciiTheme="minorEastAsia" w:hAnsiTheme="minorEastAsia"/>
          <w:sz w:val="28"/>
          <w:szCs w:val="28"/>
        </w:rPr>
        <w:t>81.9</w:t>
      </w:r>
      <w:r>
        <w:rPr>
          <w:rFonts w:hint="eastAsia" w:asciiTheme="minorEastAsia" w:hAnsiTheme="minorEastAsia"/>
          <w:sz w:val="28"/>
          <w:szCs w:val="28"/>
        </w:rPr>
        <w:t>%。</w:t>
      </w:r>
    </w:p>
    <w:p>
      <w:pPr>
        <w:pStyle w:val="3"/>
      </w:pPr>
      <w:bookmarkStart w:id="21" w:name="_Toc533510641"/>
      <w:r>
        <w:rPr>
          <w:rFonts w:hint="eastAsia"/>
        </w:rPr>
        <w:t>十、关注就业困难群体，建立全程帮扶机制</w:t>
      </w:r>
      <w:bookmarkEnd w:id="21"/>
    </w:p>
    <w:p>
      <w:pPr>
        <w:ind w:firstLine="560" w:firstLineChars="200"/>
        <w:rPr>
          <w:rFonts w:asciiTheme="minorEastAsia" w:hAnsiTheme="minorEastAsia"/>
          <w:sz w:val="28"/>
          <w:szCs w:val="28"/>
        </w:rPr>
      </w:pPr>
      <w:r>
        <w:rPr>
          <w:rFonts w:hint="eastAsia" w:asciiTheme="minorEastAsia" w:hAnsiTheme="minorEastAsia"/>
          <w:sz w:val="28"/>
          <w:szCs w:val="28"/>
        </w:rPr>
        <w:t>建立家庭经济困难毕业生、残疾毕业生、少数民族毕业生等特殊困难群体毕业生的信息台账，实行“一生一策”动态管理，健全特殊困难群体毕业生就业状况动态监督机制。采取“一对一”、“多对一”帮扶措施，针对性开展心理援助、就业指导、技能培训、专场招聘、优先推荐、求职补贴等个性化服务，精准发力，精准帮扶，帮助毕业生实现就业。201</w:t>
      </w:r>
      <w:r>
        <w:rPr>
          <w:rFonts w:asciiTheme="minorEastAsia" w:hAnsiTheme="minorEastAsia"/>
          <w:sz w:val="28"/>
          <w:szCs w:val="28"/>
        </w:rPr>
        <w:t>8</w:t>
      </w:r>
      <w:r>
        <w:rPr>
          <w:rFonts w:hint="eastAsia" w:asciiTheme="minorEastAsia" w:hAnsiTheme="minorEastAsia"/>
          <w:sz w:val="28"/>
          <w:szCs w:val="28"/>
        </w:rPr>
        <w:t>年学校对</w:t>
      </w:r>
      <w:r>
        <w:rPr>
          <w:rFonts w:asciiTheme="minorEastAsia" w:hAnsiTheme="minorEastAsia"/>
          <w:sz w:val="28"/>
          <w:szCs w:val="28"/>
        </w:rPr>
        <w:t>742</w:t>
      </w:r>
      <w:r>
        <w:rPr>
          <w:rFonts w:hint="eastAsia" w:asciiTheme="minorEastAsia" w:hAnsiTheme="minorEastAsia"/>
          <w:sz w:val="28"/>
          <w:szCs w:val="28"/>
        </w:rPr>
        <w:t>名困难群体毕业生发放国家社保局提供的求职补贴</w:t>
      </w:r>
      <w:r>
        <w:rPr>
          <w:rFonts w:asciiTheme="minorEastAsia" w:hAnsiTheme="minorEastAsia"/>
          <w:sz w:val="28"/>
          <w:szCs w:val="28"/>
        </w:rPr>
        <w:t>593600</w:t>
      </w:r>
      <w:r>
        <w:rPr>
          <w:rFonts w:hint="eastAsia" w:asciiTheme="minorEastAsia" w:hAnsiTheme="minorEastAsia"/>
          <w:sz w:val="28"/>
          <w:szCs w:val="28"/>
        </w:rPr>
        <w:t>元；成功校友王倩代表</w:t>
      </w:r>
      <w:r>
        <w:rPr>
          <w:rFonts w:asciiTheme="minorEastAsia" w:hAnsiTheme="minorEastAsia"/>
          <w:sz w:val="28"/>
          <w:szCs w:val="28"/>
        </w:rPr>
        <w:t>昊德健康产业重庆有限公司</w:t>
      </w:r>
      <w:r>
        <w:rPr>
          <w:rFonts w:hint="eastAsia" w:asciiTheme="minorEastAsia" w:hAnsiTheme="minorEastAsia"/>
          <w:sz w:val="28"/>
          <w:szCs w:val="28"/>
        </w:rPr>
        <w:t>向我校42名在校困难学生发放三万元的</w:t>
      </w:r>
      <w:r>
        <w:rPr>
          <w:rFonts w:asciiTheme="minorEastAsia" w:hAnsiTheme="minorEastAsia"/>
          <w:sz w:val="28"/>
          <w:szCs w:val="28"/>
        </w:rPr>
        <w:t>“昊德筑梦特困生帮扶基金”</w:t>
      </w:r>
      <w:r>
        <w:rPr>
          <w:rFonts w:hint="eastAsia" w:asciiTheme="minorEastAsia" w:hAnsiTheme="minorEastAsia"/>
          <w:sz w:val="28"/>
          <w:szCs w:val="28"/>
        </w:rPr>
        <w:t>。 201</w:t>
      </w:r>
      <w:r>
        <w:rPr>
          <w:rFonts w:asciiTheme="minorEastAsia" w:hAnsiTheme="minorEastAsia"/>
          <w:sz w:val="28"/>
          <w:szCs w:val="28"/>
        </w:rPr>
        <w:t>8</w:t>
      </w:r>
      <w:r>
        <w:rPr>
          <w:rFonts w:hint="eastAsia" w:asciiTheme="minorEastAsia" w:hAnsiTheme="minorEastAsia"/>
          <w:sz w:val="28"/>
          <w:szCs w:val="28"/>
        </w:rPr>
        <w:t>年困难学生的就业率为97.2%；少数民族学生的就业率为9</w:t>
      </w:r>
      <w:r>
        <w:rPr>
          <w:rFonts w:asciiTheme="minorEastAsia" w:hAnsiTheme="minorEastAsia"/>
          <w:sz w:val="28"/>
          <w:szCs w:val="28"/>
        </w:rPr>
        <w:t>7</w:t>
      </w:r>
      <w:r>
        <w:rPr>
          <w:rFonts w:hint="eastAsia" w:asciiTheme="minorEastAsia" w:hAnsiTheme="minorEastAsia"/>
          <w:sz w:val="28"/>
          <w:szCs w:val="28"/>
        </w:rPr>
        <w:t>.</w:t>
      </w:r>
      <w:r>
        <w:rPr>
          <w:rFonts w:asciiTheme="minorEastAsia" w:hAnsiTheme="minorEastAsia"/>
          <w:sz w:val="28"/>
          <w:szCs w:val="28"/>
        </w:rPr>
        <w:t>6</w:t>
      </w:r>
      <w:r>
        <w:rPr>
          <w:rFonts w:hint="eastAsia" w:asciiTheme="minorEastAsia" w:hAnsiTheme="minorEastAsia"/>
          <w:sz w:val="28"/>
          <w:szCs w:val="28"/>
        </w:rPr>
        <w:t xml:space="preserve"> %，高于全市和全校平均就业水平。</w:t>
      </w:r>
    </w:p>
    <w:p>
      <w:pPr>
        <w:pStyle w:val="3"/>
      </w:pPr>
      <w:bookmarkStart w:id="22" w:name="_Toc533510642"/>
      <w:r>
        <w:rPr>
          <w:rFonts w:hint="eastAsia"/>
        </w:rPr>
        <w:t>十一、强化就业队伍建设，提高指导服务水平</w:t>
      </w:r>
      <w:bookmarkEnd w:id="22"/>
    </w:p>
    <w:p>
      <w:pPr>
        <w:ind w:firstLine="560" w:firstLineChars="200"/>
        <w:rPr>
          <w:rFonts w:asciiTheme="minorEastAsia" w:hAnsiTheme="minorEastAsia"/>
          <w:sz w:val="28"/>
          <w:szCs w:val="28"/>
        </w:rPr>
      </w:pPr>
      <w:r>
        <w:rPr>
          <w:rFonts w:hint="eastAsia" w:asciiTheme="minorEastAsia" w:hAnsiTheme="minorEastAsia"/>
          <w:sz w:val="28"/>
          <w:szCs w:val="28"/>
        </w:rPr>
        <w:t>学校采取“走出去、请进来”的方式，组织</w:t>
      </w:r>
      <w:r>
        <w:rPr>
          <w:rFonts w:hint="eastAsia" w:asciiTheme="minorEastAsia" w:hAnsiTheme="minorEastAsia"/>
          <w:color w:val="000000" w:themeColor="text1"/>
          <w:sz w:val="28"/>
          <w:szCs w:val="28"/>
          <w14:textFill>
            <w14:solidFill>
              <w14:schemeClr w14:val="tx1"/>
            </w14:solidFill>
          </w14:textFill>
        </w:rPr>
        <w:t>6名</w:t>
      </w:r>
      <w:r>
        <w:rPr>
          <w:rFonts w:hint="eastAsia" w:asciiTheme="minorEastAsia" w:hAnsiTheme="minorEastAsia"/>
          <w:sz w:val="28"/>
          <w:szCs w:val="28"/>
        </w:rPr>
        <w:t>职能部门和院部就业工作人员免费参加重庆市大学中专毕业生</w:t>
      </w:r>
      <w:r>
        <w:rPr>
          <w:rFonts w:hint="eastAsia" w:asciiTheme="minorEastAsia" w:hAnsiTheme="minorEastAsia"/>
          <w:color w:val="000000" w:themeColor="text1"/>
          <w:sz w:val="28"/>
          <w:szCs w:val="28"/>
          <w14:textFill>
            <w14:solidFill>
              <w14:schemeClr w14:val="tx1"/>
            </w14:solidFill>
          </w14:textFill>
        </w:rPr>
        <w:t>就业指导服务中心组织的“重庆市201</w:t>
      </w:r>
      <w:r>
        <w:rPr>
          <w:rFonts w:asciiTheme="minorEastAsia" w:hAnsiTheme="minorEastAsia"/>
          <w:color w:val="000000" w:themeColor="text1"/>
          <w:sz w:val="28"/>
          <w:szCs w:val="28"/>
          <w14:textFill>
            <w14:solidFill>
              <w14:schemeClr w14:val="tx1"/>
            </w14:solidFill>
          </w14:textFill>
        </w:rPr>
        <w:t>8</w:t>
      </w:r>
      <w:r>
        <w:rPr>
          <w:rFonts w:hint="eastAsia" w:asciiTheme="minorEastAsia" w:hAnsiTheme="minorEastAsia"/>
          <w:color w:val="000000" w:themeColor="text1"/>
          <w:sz w:val="28"/>
          <w:szCs w:val="28"/>
          <w14:textFill>
            <w14:solidFill>
              <w14:schemeClr w14:val="tx1"/>
            </w14:solidFill>
          </w14:textFill>
        </w:rPr>
        <w:t>年普通高校毕业生就业创业指导人员培训班”培训学习；邀请行业专家举办业务培训活动</w:t>
      </w:r>
      <w:r>
        <w:rPr>
          <w:rFonts w:hint="eastAsia" w:asciiTheme="minorEastAsia" w:hAnsiTheme="minorEastAsia"/>
          <w:sz w:val="28"/>
          <w:szCs w:val="28"/>
        </w:rPr>
        <w:t>，切实加强就业辅导员队伍和就业课程教师的专业化、职业化、专家化建设，有力促进学校就业指导工作的规范化、系统化、科学化，更好的为广大同学提供专业化的就业指导服务和高质量的就业课程教育。</w:t>
      </w:r>
    </w:p>
    <w:p>
      <w:pPr>
        <w:ind w:firstLine="560" w:firstLineChars="200"/>
        <w:rPr>
          <w:rFonts w:asciiTheme="minorEastAsia" w:hAnsiTheme="minorEastAsia"/>
          <w:sz w:val="28"/>
          <w:szCs w:val="28"/>
        </w:rPr>
      </w:pPr>
    </w:p>
    <w:p>
      <w:pPr>
        <w:ind w:firstLine="560" w:firstLineChars="200"/>
        <w:rPr>
          <w:rFonts w:hint="eastAsia" w:asciiTheme="minorEastAsia" w:hAnsiTheme="minorEastAsia"/>
          <w:sz w:val="28"/>
          <w:szCs w:val="28"/>
        </w:rPr>
      </w:pPr>
    </w:p>
    <w:p>
      <w:pPr>
        <w:ind w:firstLine="560" w:firstLineChars="200"/>
        <w:rPr>
          <w:rFonts w:hint="eastAsia" w:asciiTheme="minorEastAsia" w:hAnsiTheme="minorEastAsia"/>
          <w:sz w:val="28"/>
          <w:szCs w:val="28"/>
        </w:rPr>
      </w:pPr>
    </w:p>
    <w:p>
      <w:pPr>
        <w:ind w:firstLine="560" w:firstLineChars="200"/>
        <w:rPr>
          <w:rFonts w:hint="eastAsia" w:asciiTheme="minorEastAsia" w:hAnsiTheme="minorEastAsia"/>
          <w:sz w:val="28"/>
          <w:szCs w:val="28"/>
        </w:rPr>
      </w:pPr>
    </w:p>
    <w:p>
      <w:pPr>
        <w:ind w:firstLine="560" w:firstLineChars="200"/>
        <w:rPr>
          <w:rFonts w:hint="eastAsia" w:asciiTheme="minorEastAsia" w:hAnsiTheme="minorEastAsia"/>
          <w:sz w:val="28"/>
          <w:szCs w:val="28"/>
        </w:rPr>
      </w:pPr>
    </w:p>
    <w:p>
      <w:pPr>
        <w:ind w:firstLine="560" w:firstLineChars="200"/>
        <w:rPr>
          <w:rFonts w:hint="eastAsia" w:asciiTheme="minorEastAsia" w:hAnsiTheme="minorEastAsia"/>
          <w:sz w:val="28"/>
          <w:szCs w:val="28"/>
        </w:rPr>
      </w:pPr>
    </w:p>
    <w:p>
      <w:pPr>
        <w:ind w:firstLine="560" w:firstLineChars="200"/>
        <w:rPr>
          <w:rFonts w:asciiTheme="minorEastAsia" w:hAnsiTheme="minorEastAsia"/>
          <w:sz w:val="28"/>
          <w:szCs w:val="28"/>
        </w:rPr>
      </w:pPr>
    </w:p>
    <w:p>
      <w:pPr>
        <w:ind w:firstLine="560" w:firstLineChars="200"/>
        <w:rPr>
          <w:rFonts w:asciiTheme="minorEastAsia" w:hAnsiTheme="minorEastAsia"/>
          <w:sz w:val="28"/>
          <w:szCs w:val="28"/>
        </w:rPr>
      </w:pPr>
    </w:p>
    <w:p>
      <w:pPr>
        <w:pStyle w:val="2"/>
        <w:jc w:val="center"/>
        <w:rPr>
          <w:rFonts w:ascii="微软雅黑" w:hAnsi="微软雅黑" w:eastAsia="微软雅黑"/>
          <w:b/>
          <w:sz w:val="32"/>
          <w:szCs w:val="32"/>
        </w:rPr>
      </w:pPr>
      <w:r>
        <w:fldChar w:fldCharType="begin"/>
      </w:r>
      <w:r>
        <w:instrText xml:space="preserve"> HYPERLINK \l "_Toc397169553" </w:instrText>
      </w:r>
      <w:r>
        <w:fldChar w:fldCharType="separate"/>
      </w:r>
      <w:bookmarkStart w:id="23" w:name="_Toc533510643"/>
      <w:r>
        <w:rPr>
          <w:rFonts w:hint="eastAsia" w:ascii="微软雅黑" w:hAnsi="微软雅黑" w:eastAsia="微软雅黑"/>
          <w:b/>
          <w:sz w:val="32"/>
          <w:szCs w:val="32"/>
        </w:rPr>
        <w:t>第三篇：就业质量</w:t>
      </w:r>
      <w:r>
        <w:rPr>
          <w:rFonts w:ascii="微软雅黑" w:hAnsi="微软雅黑" w:eastAsia="微软雅黑"/>
          <w:b/>
          <w:sz w:val="32"/>
          <w:szCs w:val="32"/>
        </w:rPr>
        <w:t>相关</w:t>
      </w:r>
      <w:r>
        <w:rPr>
          <w:rFonts w:hint="eastAsia" w:ascii="微软雅黑" w:hAnsi="微软雅黑" w:eastAsia="微软雅黑"/>
          <w:b/>
          <w:sz w:val="32"/>
          <w:szCs w:val="32"/>
        </w:rPr>
        <w:t>分析</w:t>
      </w:r>
      <w:bookmarkEnd w:id="23"/>
      <w:r>
        <w:rPr>
          <w:rFonts w:hint="eastAsia" w:ascii="微软雅黑" w:hAnsi="微软雅黑" w:eastAsia="微软雅黑"/>
          <w:b/>
          <w:sz w:val="32"/>
          <w:szCs w:val="32"/>
        </w:rPr>
        <w:fldChar w:fldCharType="end"/>
      </w:r>
    </w:p>
    <w:p>
      <w:pPr>
        <w:pStyle w:val="3"/>
      </w:pPr>
      <w:bookmarkStart w:id="24" w:name="_Toc533510644"/>
      <w:r>
        <w:rPr>
          <w:rStyle w:val="27"/>
          <w:rFonts w:hint="eastAsia"/>
          <w:color w:val="72A376" w:themeColor="accent1"/>
          <w14:textFill>
            <w14:solidFill>
              <w14:schemeClr w14:val="accent1"/>
            </w14:solidFill>
          </w14:textFill>
        </w:rPr>
        <w:t>一</w:t>
      </w:r>
      <w:r>
        <w:rPr>
          <w:rStyle w:val="27"/>
          <w:color w:val="72A376" w:themeColor="accent1"/>
          <w14:textFill>
            <w14:solidFill>
              <w14:schemeClr w14:val="accent1"/>
            </w14:solidFill>
          </w14:textFill>
        </w:rPr>
        <w:t>、</w:t>
      </w:r>
      <w:r>
        <w:rPr>
          <w:rStyle w:val="27"/>
          <w:rFonts w:hint="eastAsia"/>
          <w:color w:val="72A376" w:themeColor="accent1"/>
          <w14:textFill>
            <w14:solidFill>
              <w14:schemeClr w14:val="accent1"/>
            </w14:solidFill>
          </w14:textFill>
        </w:rPr>
        <w:t>毕业生就业质量相关分析</w:t>
      </w:r>
      <w:bookmarkEnd w:id="24"/>
    </w:p>
    <w:p>
      <w:pPr>
        <w:pStyle w:val="4"/>
      </w:pPr>
      <w:bookmarkStart w:id="25" w:name="_Toc533510645"/>
      <w:r>
        <w:rPr>
          <w:rFonts w:hint="eastAsia"/>
        </w:rPr>
        <w:t>（一）薪酬水平</w:t>
      </w:r>
      <w:bookmarkEnd w:id="25"/>
    </w:p>
    <w:p>
      <w:pPr>
        <w:spacing w:before="156" w:beforeLines="50" w:line="500" w:lineRule="exact"/>
        <w:ind w:firstLine="551" w:firstLineChars="196"/>
        <w:rPr>
          <w:rFonts w:ascii="宋体" w:hAnsi="宋体" w:eastAsia="宋体"/>
          <w:sz w:val="28"/>
          <w:szCs w:val="28"/>
        </w:rPr>
      </w:pPr>
      <w:r>
        <w:rPr>
          <w:b/>
          <w:sz w:val="28"/>
          <w:szCs w:val="28"/>
        </w:rPr>
        <w:drawing>
          <wp:anchor distT="0" distB="0" distL="114300" distR="114300" simplePos="0" relativeHeight="251669504" behindDoc="0" locked="0" layoutInCell="1" allowOverlap="1">
            <wp:simplePos x="0" y="0"/>
            <wp:positionH relativeFrom="column">
              <wp:posOffset>617855</wp:posOffset>
            </wp:positionH>
            <wp:positionV relativeFrom="paragraph">
              <wp:posOffset>862330</wp:posOffset>
            </wp:positionV>
            <wp:extent cx="4572000" cy="2743200"/>
            <wp:effectExtent l="0" t="0" r="19050" b="19050"/>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hint="eastAsia" w:ascii="宋体" w:hAnsi="宋体" w:eastAsia="宋体"/>
          <w:b/>
          <w:sz w:val="28"/>
          <w:szCs w:val="28"/>
        </w:rPr>
        <w:t>总体薪酬水平：</w:t>
      </w:r>
      <w:r>
        <w:rPr>
          <w:rFonts w:hint="eastAsia" w:ascii="宋体" w:hAnsi="宋体" w:eastAsia="宋体"/>
          <w:sz w:val="28"/>
          <w:szCs w:val="28"/>
        </w:rPr>
        <w:t>学校2018年毕业生税前月收入为2894.55元；月收入区间分布主要集中在2001-3500元占比38.3%，其次为2000元以下占比20.5%。</w:t>
      </w:r>
    </w:p>
    <w:p>
      <w:pPr>
        <w:spacing w:before="156" w:beforeLines="50"/>
        <w:jc w:val="center"/>
        <w:rPr>
          <w:rFonts w:ascii="黑体" w:hAnsi="黑体" w:eastAsia="黑体"/>
        </w:rPr>
      </w:pPr>
      <w:r>
        <w:rPr>
          <w:rFonts w:hint="eastAsia" w:ascii="黑体" w:hAnsi="黑体" w:eastAsia="黑体"/>
        </w:rPr>
        <w:t>图3-1 2018 毕业生总体薪酬水平</w:t>
      </w:r>
    </w:p>
    <w:p>
      <w:pPr>
        <w:spacing w:before="156" w:beforeLines="50"/>
        <w:rPr>
          <w:rFonts w:ascii="宋体" w:hAnsi="宋体" w:eastAsia="宋体"/>
          <w:sz w:val="20"/>
          <w:szCs w:val="20"/>
        </w:rPr>
      </w:pPr>
      <w:r>
        <w:rPr>
          <w:rFonts w:hint="eastAsia" w:ascii="宋体" w:hAnsi="宋体" w:eastAsia="宋体"/>
          <w:sz w:val="20"/>
          <w:szCs w:val="20"/>
        </w:rPr>
        <w:t xml:space="preserve">注：薪酬包括能折算为现金的工资、福利等。 </w:t>
      </w:r>
    </w:p>
    <w:p>
      <w:pPr>
        <w:spacing w:before="156" w:beforeLines="50"/>
        <w:rPr>
          <w:rFonts w:ascii="宋体" w:hAnsi="宋体" w:eastAsia="宋体"/>
          <w:sz w:val="20"/>
          <w:szCs w:val="20"/>
        </w:rPr>
      </w:pPr>
      <w:r>
        <w:rPr>
          <w:rFonts w:hint="eastAsia" w:ascii="宋体" w:hAnsi="宋体" w:eastAsia="宋体"/>
          <w:sz w:val="20"/>
          <w:szCs w:val="20"/>
        </w:rPr>
        <w:t>数据来源：第三方机构成都泽奥-2018 届毕业生就业与培养质量调查</w:t>
      </w:r>
    </w:p>
    <w:p>
      <w:pPr>
        <w:spacing w:before="156" w:beforeLines="50"/>
        <w:rPr>
          <w:rFonts w:ascii="宋体" w:hAnsi="宋体" w:eastAsia="宋体"/>
          <w:sz w:val="20"/>
          <w:szCs w:val="20"/>
        </w:rPr>
      </w:pPr>
    </w:p>
    <w:p>
      <w:pPr>
        <w:spacing w:before="156" w:beforeLines="50" w:line="500" w:lineRule="exact"/>
        <w:ind w:firstLine="551" w:firstLineChars="196"/>
        <w:rPr>
          <w:sz w:val="24"/>
          <w:szCs w:val="24"/>
        </w:rPr>
      </w:pPr>
      <w:r>
        <w:rPr>
          <w:b/>
          <w:sz w:val="28"/>
          <w:szCs w:val="28"/>
        </w:rPr>
        <w:drawing>
          <wp:anchor distT="0" distB="0" distL="114300" distR="114300" simplePos="0" relativeHeight="251672576" behindDoc="0" locked="0" layoutInCell="1" allowOverlap="1">
            <wp:simplePos x="0" y="0"/>
            <wp:positionH relativeFrom="column">
              <wp:posOffset>617220</wp:posOffset>
            </wp:positionH>
            <wp:positionV relativeFrom="paragraph">
              <wp:posOffset>1182370</wp:posOffset>
            </wp:positionV>
            <wp:extent cx="5019675" cy="3606800"/>
            <wp:effectExtent l="0" t="0" r="9525" b="12700"/>
            <wp:wrapTopAndBottom/>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hint="eastAsia"/>
          <w:b/>
          <w:sz w:val="28"/>
          <w:szCs w:val="28"/>
        </w:rPr>
        <w:t>主要就业行业的薪酬水平：</w:t>
      </w:r>
      <w:r>
        <w:rPr>
          <w:rFonts w:hint="eastAsia"/>
          <w:sz w:val="28"/>
          <w:szCs w:val="28"/>
        </w:rPr>
        <w:t>主要就业的行业中，文化、体育和娱乐业就业毕业生平均月收入为4721元，为最高；而农林牧副渔行业就业的毕业生平均月收入为2547元，相对较低</w:t>
      </w:r>
      <w:r>
        <w:rPr>
          <w:rFonts w:hint="eastAsia"/>
          <w:sz w:val="24"/>
          <w:szCs w:val="24"/>
        </w:rPr>
        <w:t>。</w:t>
      </w:r>
    </w:p>
    <w:p>
      <w:pPr>
        <w:spacing w:before="156" w:beforeLines="50"/>
        <w:jc w:val="center"/>
        <w:rPr>
          <w:rFonts w:ascii="黑体" w:hAnsi="黑体" w:eastAsia="黑体"/>
        </w:rPr>
      </w:pPr>
      <w:r>
        <w:rPr>
          <w:rFonts w:hint="eastAsia" w:ascii="黑体" w:hAnsi="黑体" w:eastAsia="黑体"/>
        </w:rPr>
        <w:t>图3-2 2018 毕业生各个行业薪酬水平</w:t>
      </w:r>
    </w:p>
    <w:p>
      <w:pPr>
        <w:spacing w:before="156" w:beforeLines="50"/>
        <w:rPr>
          <w:rFonts w:ascii="宋体" w:hAnsi="宋体" w:eastAsia="宋体"/>
          <w:sz w:val="20"/>
          <w:szCs w:val="20"/>
        </w:rPr>
      </w:pPr>
      <w:r>
        <w:rPr>
          <w:rFonts w:hint="eastAsia" w:ascii="宋体" w:hAnsi="宋体" w:eastAsia="宋体"/>
          <w:sz w:val="20"/>
          <w:szCs w:val="20"/>
        </w:rPr>
        <w:t xml:space="preserve">注：薪酬包括能折算为现金的工资、福利等。 </w:t>
      </w:r>
    </w:p>
    <w:p>
      <w:pPr>
        <w:spacing w:before="156" w:beforeLines="50"/>
        <w:rPr>
          <w:rFonts w:ascii="宋体" w:hAnsi="宋体" w:eastAsia="宋体"/>
          <w:sz w:val="20"/>
          <w:szCs w:val="20"/>
        </w:rPr>
      </w:pPr>
      <w:r>
        <w:rPr>
          <w:rFonts w:hint="eastAsia" w:ascii="宋体" w:hAnsi="宋体" w:eastAsia="宋体"/>
          <w:sz w:val="20"/>
          <w:szCs w:val="20"/>
        </w:rPr>
        <w:t>数据来源：第三方机构成都泽奥-2018 届毕业生就业与培养质量调查</w:t>
      </w:r>
    </w:p>
    <w:p>
      <w:pPr>
        <w:spacing w:line="360" w:lineRule="auto"/>
        <w:ind w:firstLine="551" w:firstLineChars="196"/>
        <w:rPr>
          <w:sz w:val="28"/>
          <w:szCs w:val="28"/>
        </w:rPr>
      </w:pPr>
      <w:r>
        <w:rPr>
          <w:rFonts w:hint="eastAsia"/>
          <w:b/>
          <w:sz w:val="28"/>
          <w:szCs w:val="28"/>
        </w:rPr>
        <w:t>主要就业单位的薪酬水平和主要就业地区的薪酬水平：</w:t>
      </w:r>
      <w:r>
        <w:rPr>
          <w:rFonts w:hint="eastAsia"/>
          <w:sz w:val="28"/>
          <w:szCs w:val="28"/>
        </w:rPr>
        <w:t>主要就业单位中，其他企业月收入是3027元，为最高；而医疗卫生单位薪酬是2497元，为相对较低；主要就业地区中，重庆市（主城区）月收入是3884元，为最高；而重庆下属区（非主城区）是2537元，相对较低。</w:t>
      </w:r>
    </w:p>
    <w:p>
      <w:pPr>
        <w:spacing w:line="360" w:lineRule="auto"/>
        <w:ind w:firstLine="548" w:firstLineChars="196"/>
        <w:rPr>
          <w:sz w:val="28"/>
          <w:szCs w:val="28"/>
        </w:rPr>
      </w:pPr>
    </w:p>
    <w:p>
      <w:pPr>
        <w:spacing w:line="360" w:lineRule="auto"/>
        <w:ind w:firstLine="551" w:firstLineChars="196"/>
        <w:rPr>
          <w:b/>
          <w:sz w:val="28"/>
          <w:szCs w:val="28"/>
        </w:rPr>
      </w:pPr>
    </w:p>
    <w:p>
      <w:pPr>
        <w:rPr>
          <w:sz w:val="24"/>
          <w:szCs w:val="24"/>
        </w:rPr>
      </w:pPr>
      <w:r>
        <w:drawing>
          <wp:anchor distT="0" distB="0" distL="114300" distR="114300" simplePos="0" relativeHeight="251673600" behindDoc="0" locked="0" layoutInCell="1" allowOverlap="1">
            <wp:simplePos x="0" y="0"/>
            <wp:positionH relativeFrom="column">
              <wp:posOffset>2514600</wp:posOffset>
            </wp:positionH>
            <wp:positionV relativeFrom="paragraph">
              <wp:posOffset>476885</wp:posOffset>
            </wp:positionV>
            <wp:extent cx="3955415" cy="1748790"/>
            <wp:effectExtent l="0" t="0" r="26035" b="22860"/>
            <wp:wrapTopAndBottom/>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drawing>
          <wp:anchor distT="0" distB="0" distL="114300" distR="114300" simplePos="0" relativeHeight="251674624" behindDoc="0" locked="0" layoutInCell="1" allowOverlap="1">
            <wp:simplePos x="0" y="0"/>
            <wp:positionH relativeFrom="column">
              <wp:posOffset>-224155</wp:posOffset>
            </wp:positionH>
            <wp:positionV relativeFrom="paragraph">
              <wp:posOffset>485140</wp:posOffset>
            </wp:positionV>
            <wp:extent cx="2527300" cy="1746250"/>
            <wp:effectExtent l="0" t="0" r="25400" b="25400"/>
            <wp:wrapTopAndBottom/>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mc:AlternateContent>
          <mc:Choice Requires="wps">
            <w:drawing>
              <wp:anchor distT="0" distB="0" distL="114300" distR="114300" simplePos="0" relativeHeight="251676672" behindDoc="0" locked="0" layoutInCell="1" allowOverlap="1">
                <wp:simplePos x="0" y="0"/>
                <wp:positionH relativeFrom="column">
                  <wp:posOffset>-5080</wp:posOffset>
                </wp:positionH>
                <wp:positionV relativeFrom="paragraph">
                  <wp:posOffset>18415</wp:posOffset>
                </wp:positionV>
                <wp:extent cx="2374265" cy="293370"/>
                <wp:effectExtent l="0" t="0" r="1270" b="0"/>
                <wp:wrapNone/>
                <wp:docPr id="1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74265" cy="293370"/>
                        </a:xfrm>
                        <a:prstGeom prst="rect">
                          <a:avLst/>
                        </a:prstGeom>
                        <a:solidFill>
                          <a:srgbClr val="FFFFFF"/>
                        </a:solidFill>
                        <a:ln w="9525">
                          <a:noFill/>
                          <a:miter lim="800000"/>
                        </a:ln>
                      </wps:spPr>
                      <wps:txbx>
                        <w:txbxContent>
                          <w:p>
                            <w:pPr>
                              <w:rPr>
                                <w:b/>
                              </w:rPr>
                            </w:pPr>
                            <w:r>
                              <w:rPr>
                                <w:rFonts w:hint="eastAsia"/>
                                <w:b/>
                              </w:rPr>
                              <w:t>主要就业单位的月收入水平</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id="文本框 2" o:spid="_x0000_s1026" o:spt="202" type="#_x0000_t202" style="position:absolute;left:0pt;margin-left:-0.4pt;margin-top:1.45pt;height:23.1pt;width:186.95pt;z-index:251676672;mso-width-relative:margin;mso-height-relative:page;mso-width-percent:400;" fillcolor="#FFFFFF" filled="t" stroked="f" coordsize="21600,21600" o:gfxdata="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YcEfvUAAAABgEA&#10;AA8AAAAAAAAAAQAgAAAAIgAAAGRycy9kb3ducmV2LnhtbFBLAQIUABQAAAAIAIdO4kAm/wDwHgIA&#10;AAUEAAAOAAAAAAAAAAEAIAAAACMBAABkcnMvZTJvRG9jLnhtbFBLBQYAAAAABgAGAFkBAACzBQAA&#10;AAA=&#10;">
                <v:fill on="t" focussize="0,0"/>
                <v:stroke on="f" miterlimit="8" joinstyle="miter"/>
                <v:imagedata o:title=""/>
                <o:lock v:ext="edit" aspectratio="f"/>
                <v:textbox>
                  <w:txbxContent>
                    <w:p>
                      <w:pPr>
                        <w:rPr>
                          <w:b/>
                        </w:rPr>
                      </w:pPr>
                      <w:r>
                        <w:rPr>
                          <w:rFonts w:hint="eastAsia"/>
                          <w:b/>
                        </w:rPr>
                        <w:t>主要就业单位的月收入水平</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3345180</wp:posOffset>
                </wp:positionH>
                <wp:positionV relativeFrom="paragraph">
                  <wp:posOffset>19050</wp:posOffset>
                </wp:positionV>
                <wp:extent cx="2374265" cy="293370"/>
                <wp:effectExtent l="0" t="0" r="1270" b="0"/>
                <wp:wrapNone/>
                <wp:docPr id="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74265" cy="293370"/>
                        </a:xfrm>
                        <a:prstGeom prst="rect">
                          <a:avLst/>
                        </a:prstGeom>
                        <a:solidFill>
                          <a:srgbClr val="FFFFFF"/>
                        </a:solidFill>
                        <a:ln w="9525">
                          <a:noFill/>
                          <a:miter lim="800000"/>
                        </a:ln>
                      </wps:spPr>
                      <wps:txbx>
                        <w:txbxContent>
                          <w:p>
                            <w:pPr>
                              <w:rPr>
                                <w:b/>
                              </w:rPr>
                            </w:pPr>
                            <w:r>
                              <w:rPr>
                                <w:rFonts w:hint="eastAsia"/>
                                <w:b/>
                              </w:rPr>
                              <w:t>主要就业地区的月收入水平</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id="文本框 2" o:spid="_x0000_s1026" o:spt="202" type="#_x0000_t202" style="position:absolute;left:0pt;margin-left:263.4pt;margin-top:1.5pt;height:23.1pt;width:186.95pt;z-index:251678720;mso-width-relative:margin;mso-height-relative:page;mso-width-percent:400;" fillcolor="#FFFFFF" filled="t" stroked="f" coordsize="21600,21600" o:gfxdata="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H8DitYAAAAI&#10;AQAADwAAAAAAAAABACAAAAAiAAAAZHJzL2Rvd25yZXYueG1sUEsBAhQAFAAAAAgAh07iQPDQLCIe&#10;AgAABQQAAA4AAAAAAAAAAQAgAAAAJQEAAGRycy9lMm9Eb2MueG1sUEsFBgAAAAAGAAYAWQEAALUF&#10;AAAAAA==&#10;">
                <v:fill on="t" focussize="0,0"/>
                <v:stroke on="f" miterlimit="8" joinstyle="miter"/>
                <v:imagedata o:title=""/>
                <o:lock v:ext="edit" aspectratio="f"/>
                <v:textbox>
                  <w:txbxContent>
                    <w:p>
                      <w:pPr>
                        <w:rPr>
                          <w:b/>
                        </w:rPr>
                      </w:pPr>
                      <w:r>
                        <w:rPr>
                          <w:rFonts w:hint="eastAsia"/>
                          <w:b/>
                        </w:rPr>
                        <w:t>主要就业地区的月收入水平</w:t>
                      </w:r>
                    </w:p>
                  </w:txbxContent>
                </v:textbox>
              </v:shape>
            </w:pict>
          </mc:Fallback>
        </mc:AlternateContent>
      </w:r>
    </w:p>
    <w:p>
      <w:pPr>
        <w:spacing w:before="156" w:beforeLines="50"/>
        <w:jc w:val="center"/>
        <w:rPr>
          <w:rFonts w:ascii="黑体" w:hAnsi="黑体" w:eastAsia="黑体"/>
        </w:rPr>
      </w:pPr>
      <w:r>
        <w:rPr>
          <w:rFonts w:hint="eastAsia" w:ascii="黑体" w:hAnsi="黑体" w:eastAsia="黑体"/>
        </w:rPr>
        <w:t>图3-3 2018 毕业生单位性质和地区薪酬水平</w:t>
      </w:r>
    </w:p>
    <w:p>
      <w:pPr>
        <w:spacing w:before="156" w:beforeLines="50"/>
        <w:rPr>
          <w:rFonts w:ascii="宋体" w:hAnsi="宋体" w:eastAsia="宋体"/>
          <w:sz w:val="20"/>
          <w:szCs w:val="20"/>
        </w:rPr>
      </w:pPr>
      <w:r>
        <w:rPr>
          <w:rFonts w:hint="eastAsia" w:ascii="宋体" w:hAnsi="宋体" w:eastAsia="宋体"/>
          <w:sz w:val="20"/>
          <w:szCs w:val="20"/>
        </w:rPr>
        <w:t xml:space="preserve">注：薪酬包括能折算为现金的工资、福利等。 </w:t>
      </w:r>
    </w:p>
    <w:p>
      <w:pPr>
        <w:spacing w:before="156" w:beforeLines="50"/>
        <w:rPr>
          <w:rFonts w:ascii="宋体" w:hAnsi="宋体" w:eastAsia="宋体"/>
          <w:sz w:val="20"/>
          <w:szCs w:val="20"/>
        </w:rPr>
      </w:pPr>
      <w:r>
        <w:rPr>
          <w:rFonts w:hint="eastAsia" w:ascii="宋体" w:hAnsi="宋体" w:eastAsia="宋体"/>
          <w:sz w:val="20"/>
          <w:szCs w:val="20"/>
        </w:rPr>
        <w:t>数据来源：第三方机构成都泽奥-2018 届毕业生就业与培养质量调查</w:t>
      </w:r>
    </w:p>
    <w:p>
      <w:pPr>
        <w:pStyle w:val="4"/>
      </w:pPr>
      <w:bookmarkStart w:id="26" w:name="_Toc533510646"/>
      <w:r>
        <w:rPr>
          <w:rFonts w:hint="eastAsia"/>
        </w:rPr>
        <w:t>（二）专业相关度</w:t>
      </w:r>
      <w:bookmarkEnd w:id="26"/>
    </w:p>
    <w:p>
      <w:pPr>
        <w:spacing w:before="156" w:beforeLines="50" w:line="500" w:lineRule="exact"/>
        <w:ind w:firstLine="551" w:firstLineChars="196"/>
        <w:rPr>
          <w:sz w:val="28"/>
          <w:szCs w:val="28"/>
        </w:rPr>
      </w:pPr>
      <w:r>
        <w:rPr>
          <w:rFonts w:hint="eastAsia"/>
          <w:b/>
          <w:sz w:val="28"/>
          <w:szCs w:val="28"/>
        </w:rPr>
        <w:t>总体相关度：</w:t>
      </w:r>
      <w:r>
        <w:rPr>
          <w:rFonts w:hint="eastAsia"/>
          <w:sz w:val="28"/>
          <w:szCs w:val="28"/>
        </w:rPr>
        <w:t xml:space="preserve"> 2018 届毕业生目前就职岗位与所学专业的相关度为 91.1%；其中“非常相关”占比为 50.2%，“比较相关”占比为 27.6%。可见毕业生所学专业及技能与实际工作的契合度较高，能够学以致用。各专业毕业生的专业相关度分布如下表所示。 </w:t>
      </w:r>
    </w:p>
    <w:p>
      <w:pPr>
        <w:jc w:val="center"/>
      </w:pPr>
      <w:r>
        <w:drawing>
          <wp:inline distT="0" distB="0" distL="0" distR="0">
            <wp:extent cx="5486400" cy="2118995"/>
            <wp:effectExtent l="0" t="0" r="19050" b="14605"/>
            <wp:docPr id="296" name="图表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before="156" w:beforeLines="50"/>
        <w:jc w:val="center"/>
        <w:rPr>
          <w:rFonts w:ascii="黑体" w:hAnsi="黑体" w:eastAsia="黑体"/>
        </w:rPr>
      </w:pPr>
      <w:r>
        <w:rPr>
          <w:rFonts w:hint="eastAsia" w:ascii="黑体" w:hAnsi="黑体" w:eastAsia="黑体"/>
        </w:rPr>
        <w:t>图3-3 2018 毕业生专业相关度分布</w:t>
      </w:r>
    </w:p>
    <w:p>
      <w:pPr>
        <w:spacing w:before="156" w:beforeLines="50"/>
        <w:rPr>
          <w:rFonts w:ascii="宋体" w:hAnsi="宋体" w:eastAsia="宋体"/>
          <w:sz w:val="20"/>
          <w:szCs w:val="20"/>
        </w:rPr>
      </w:pPr>
      <w:r>
        <w:rPr>
          <w:rFonts w:hint="eastAsia" w:ascii="宋体" w:hAnsi="宋体" w:eastAsia="宋体"/>
          <w:sz w:val="20"/>
          <w:szCs w:val="20"/>
        </w:rPr>
        <w:t>数据来源：第三方机构成都泽奥-2018 届毕业生就业与培养质量调查</w:t>
      </w:r>
    </w:p>
    <w:p>
      <w:pPr>
        <w:spacing w:before="156" w:beforeLines="50" w:line="500" w:lineRule="exact"/>
        <w:jc w:val="center"/>
        <w:rPr>
          <w:rFonts w:ascii="黑体" w:hAnsi="黑体" w:eastAsia="黑体"/>
        </w:rPr>
      </w:pPr>
      <w:r>
        <w:rPr>
          <w:rFonts w:hint="eastAsia" w:ascii="黑体" w:hAnsi="黑体" w:eastAsia="黑体"/>
        </w:rPr>
        <w:t>表 3-1  2018 届各专业毕业生专业相关度分布</w:t>
      </w:r>
    </w:p>
    <w:tbl>
      <w:tblPr>
        <w:tblStyle w:val="38"/>
        <w:tblW w:w="10031" w:type="dxa"/>
        <w:tblInd w:w="0" w:type="dxa"/>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
      <w:tblGrid>
        <w:gridCol w:w="2093"/>
        <w:gridCol w:w="1417"/>
        <w:gridCol w:w="1276"/>
        <w:gridCol w:w="1276"/>
        <w:gridCol w:w="1559"/>
        <w:gridCol w:w="1276"/>
        <w:gridCol w:w="1134"/>
      </w:tblGrid>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501" w:hRule="atLeast"/>
        </w:trPr>
        <w:tc>
          <w:tcPr>
            <w:tcW w:w="2093" w:type="dxa"/>
            <w:tcBorders>
              <w:top w:val="single" w:color="72A376" w:themeColor="accent1" w:sz="8" w:space="0"/>
              <w:left w:val="single" w:color="72A376" w:themeColor="accent1" w:sz="8" w:space="0"/>
              <w:bottom w:val="single" w:color="72A376" w:themeColor="accent1" w:sz="18" w:space="0"/>
              <w:right w:val="single" w:color="72A376" w:themeColor="accent1" w:sz="8" w:space="0"/>
              <w:insideH w:val="single" w:sz="18" w:space="0"/>
              <w:insideV w:val="single" w:sz="8" w:space="0"/>
            </w:tcBorders>
            <w:shd w:val="clear" w:color="auto" w:fill="76A676" w:themeFill="accent2" w:themeFillShade="BF"/>
            <w:vAlign w:val="center"/>
          </w:tcPr>
          <w:p>
            <w:pPr>
              <w:spacing w:before="0" w:after="0" w:line="240" w:lineRule="auto"/>
              <w:rPr>
                <w:rFonts w:ascii="宋体" w:hAnsi="宋体" w:eastAsia="宋体" w:cs="Arial"/>
                <w:b/>
                <w:bCs/>
                <w:color w:val="FFFFFF" w:themeColor="background1"/>
                <w:sz w:val="24"/>
                <w:szCs w:val="24"/>
                <w14:textFill>
                  <w14:solidFill>
                    <w14:schemeClr w14:val="bg1"/>
                  </w14:solidFill>
                </w14:textFill>
              </w:rPr>
            </w:pPr>
            <w:r>
              <w:rPr>
                <w:rFonts w:hint="eastAsia" w:ascii="宋体" w:hAnsi="宋体" w:eastAsia="宋体" w:cs="Arial"/>
                <w:b/>
                <w:bCs/>
                <w:color w:val="FFFFFF" w:themeColor="background1"/>
                <w:sz w:val="24"/>
                <w:szCs w:val="24"/>
                <w14:textFill>
                  <w14:solidFill>
                    <w14:schemeClr w14:val="bg1"/>
                  </w14:solidFill>
                </w14:textFill>
              </w:rPr>
              <w:t>专业</w:t>
            </w:r>
          </w:p>
        </w:tc>
        <w:tc>
          <w:tcPr>
            <w:tcW w:w="1417" w:type="dxa"/>
            <w:tcBorders>
              <w:top w:val="single" w:color="72A376" w:themeColor="accent1" w:sz="8" w:space="0"/>
              <w:bottom w:val="single" w:color="72A376" w:themeColor="accent1" w:sz="18" w:space="0"/>
              <w:right w:val="single" w:color="72A376" w:themeColor="accent1" w:sz="8" w:space="0"/>
              <w:insideH w:val="single" w:sz="18" w:space="0"/>
              <w:insideV w:val="single" w:sz="8" w:space="0"/>
            </w:tcBorders>
            <w:shd w:val="clear" w:color="auto" w:fill="76A676" w:themeFill="accent2" w:themeFillShade="BF"/>
            <w:vAlign w:val="center"/>
          </w:tcPr>
          <w:p>
            <w:pPr>
              <w:spacing w:before="0" w:after="0" w:line="240" w:lineRule="auto"/>
              <w:rPr>
                <w:rFonts w:ascii="宋体" w:hAnsi="宋体" w:eastAsia="宋体" w:cs="Arial"/>
                <w:b/>
                <w:bCs/>
                <w:color w:val="FFFFFF" w:themeColor="background1"/>
                <w:sz w:val="24"/>
                <w:szCs w:val="24"/>
                <w14:textFill>
                  <w14:solidFill>
                    <w14:schemeClr w14:val="bg1"/>
                  </w14:solidFill>
                </w14:textFill>
              </w:rPr>
            </w:pPr>
            <w:r>
              <w:rPr>
                <w:rFonts w:hint="eastAsia" w:ascii="宋体" w:hAnsi="宋体" w:eastAsia="宋体" w:cs="Arial"/>
                <w:b/>
                <w:bCs/>
                <w:color w:val="FFFFFF" w:themeColor="background1"/>
                <w:sz w:val="24"/>
                <w:szCs w:val="24"/>
                <w14:textFill>
                  <w14:solidFill>
                    <w14:schemeClr w14:val="bg1"/>
                  </w14:solidFill>
                </w14:textFill>
              </w:rPr>
              <w:t>非常相关</w:t>
            </w:r>
          </w:p>
        </w:tc>
        <w:tc>
          <w:tcPr>
            <w:tcW w:w="1276" w:type="dxa"/>
            <w:tcBorders>
              <w:top w:val="single" w:color="72A376" w:themeColor="accent1" w:sz="8" w:space="0"/>
              <w:bottom w:val="single" w:color="72A376" w:themeColor="accent1" w:sz="18" w:space="0"/>
              <w:right w:val="single" w:color="72A376" w:themeColor="accent1" w:sz="8" w:space="0"/>
              <w:insideH w:val="single" w:sz="18" w:space="0"/>
              <w:insideV w:val="single" w:sz="8" w:space="0"/>
            </w:tcBorders>
            <w:shd w:val="clear" w:color="auto" w:fill="76A676" w:themeFill="accent2" w:themeFillShade="BF"/>
            <w:vAlign w:val="center"/>
          </w:tcPr>
          <w:p>
            <w:pPr>
              <w:spacing w:before="0" w:after="0" w:line="240" w:lineRule="auto"/>
              <w:rPr>
                <w:rFonts w:ascii="宋体" w:hAnsi="宋体" w:eastAsia="宋体" w:cs="Arial"/>
                <w:b/>
                <w:bCs/>
                <w:color w:val="FFFFFF" w:themeColor="background1"/>
                <w:sz w:val="24"/>
                <w:szCs w:val="24"/>
                <w14:textFill>
                  <w14:solidFill>
                    <w14:schemeClr w14:val="bg1"/>
                  </w14:solidFill>
                </w14:textFill>
              </w:rPr>
            </w:pPr>
            <w:r>
              <w:rPr>
                <w:rFonts w:hint="eastAsia" w:ascii="宋体" w:hAnsi="宋体" w:eastAsia="宋体" w:cs="Arial"/>
                <w:b/>
                <w:bCs/>
                <w:color w:val="FFFFFF" w:themeColor="background1"/>
                <w:sz w:val="24"/>
                <w:szCs w:val="24"/>
                <w14:textFill>
                  <w14:solidFill>
                    <w14:schemeClr w14:val="bg1"/>
                  </w14:solidFill>
                </w14:textFill>
              </w:rPr>
              <w:t>比较相关</w:t>
            </w:r>
          </w:p>
        </w:tc>
        <w:tc>
          <w:tcPr>
            <w:tcW w:w="1276" w:type="dxa"/>
            <w:tcBorders>
              <w:top w:val="single" w:color="72A376" w:themeColor="accent1" w:sz="8" w:space="0"/>
              <w:bottom w:val="single" w:color="72A376" w:themeColor="accent1" w:sz="18" w:space="0"/>
              <w:right w:val="single" w:color="72A376" w:themeColor="accent1" w:sz="8" w:space="0"/>
              <w:insideH w:val="single" w:sz="18" w:space="0"/>
              <w:insideV w:val="single" w:sz="8" w:space="0"/>
            </w:tcBorders>
            <w:shd w:val="clear" w:color="auto" w:fill="76A676" w:themeFill="accent2" w:themeFillShade="BF"/>
            <w:vAlign w:val="center"/>
          </w:tcPr>
          <w:p>
            <w:pPr>
              <w:spacing w:before="0" w:after="0" w:line="240" w:lineRule="auto"/>
              <w:rPr>
                <w:rFonts w:ascii="宋体" w:hAnsi="宋体" w:eastAsia="宋体" w:cs="Arial"/>
                <w:b/>
                <w:bCs/>
                <w:color w:val="FFFFFF" w:themeColor="background1"/>
                <w:sz w:val="24"/>
                <w:szCs w:val="24"/>
                <w14:textFill>
                  <w14:solidFill>
                    <w14:schemeClr w14:val="bg1"/>
                  </w14:solidFill>
                </w14:textFill>
              </w:rPr>
            </w:pPr>
            <w:r>
              <w:rPr>
                <w:rFonts w:hint="eastAsia" w:ascii="宋体" w:hAnsi="宋体" w:eastAsia="宋体" w:cs="Arial"/>
                <w:b/>
                <w:bCs/>
                <w:color w:val="FFFFFF" w:themeColor="background1"/>
                <w:sz w:val="24"/>
                <w:szCs w:val="24"/>
                <w14:textFill>
                  <w14:solidFill>
                    <w14:schemeClr w14:val="bg1"/>
                  </w14:solidFill>
                </w14:textFill>
              </w:rPr>
              <w:t>一般相关</w:t>
            </w:r>
          </w:p>
        </w:tc>
        <w:tc>
          <w:tcPr>
            <w:tcW w:w="1559" w:type="dxa"/>
            <w:tcBorders>
              <w:top w:val="single" w:color="72A376" w:themeColor="accent1" w:sz="8" w:space="0"/>
              <w:bottom w:val="single" w:color="72A376" w:themeColor="accent1" w:sz="18" w:space="0"/>
              <w:right w:val="single" w:color="72A376" w:themeColor="accent1" w:sz="8" w:space="0"/>
              <w:insideH w:val="single" w:sz="18" w:space="0"/>
              <w:insideV w:val="single" w:sz="8" w:space="0"/>
            </w:tcBorders>
            <w:shd w:val="clear" w:color="auto" w:fill="76A676" w:themeFill="accent2" w:themeFillShade="BF"/>
            <w:vAlign w:val="center"/>
          </w:tcPr>
          <w:p>
            <w:pPr>
              <w:spacing w:before="0" w:after="0" w:line="240" w:lineRule="auto"/>
              <w:rPr>
                <w:rFonts w:ascii="宋体" w:hAnsi="宋体" w:eastAsia="宋体" w:cs="Arial"/>
                <w:b/>
                <w:bCs/>
                <w:color w:val="FFFFFF" w:themeColor="background1"/>
                <w:sz w:val="24"/>
                <w:szCs w:val="24"/>
                <w14:textFill>
                  <w14:solidFill>
                    <w14:schemeClr w14:val="bg1"/>
                  </w14:solidFill>
                </w14:textFill>
              </w:rPr>
            </w:pPr>
            <w:r>
              <w:rPr>
                <w:rFonts w:hint="eastAsia" w:ascii="宋体" w:hAnsi="宋体" w:eastAsia="宋体" w:cs="Arial"/>
                <w:b/>
                <w:bCs/>
                <w:color w:val="FFFFFF" w:themeColor="background1"/>
                <w:sz w:val="24"/>
                <w:szCs w:val="24"/>
                <w14:textFill>
                  <w14:solidFill>
                    <w14:schemeClr w14:val="bg1"/>
                  </w14:solidFill>
                </w14:textFill>
              </w:rPr>
              <w:t>相关度很小</w:t>
            </w:r>
          </w:p>
        </w:tc>
        <w:tc>
          <w:tcPr>
            <w:tcW w:w="1276" w:type="dxa"/>
            <w:tcBorders>
              <w:top w:val="single" w:color="72A376" w:themeColor="accent1" w:sz="8" w:space="0"/>
              <w:bottom w:val="single" w:color="72A376" w:themeColor="accent1" w:sz="18" w:space="0"/>
              <w:right w:val="single" w:color="72A376" w:themeColor="accent1" w:sz="8" w:space="0"/>
              <w:insideH w:val="single" w:sz="18" w:space="0"/>
              <w:insideV w:val="single" w:sz="8" w:space="0"/>
            </w:tcBorders>
            <w:shd w:val="clear" w:color="auto" w:fill="76A676" w:themeFill="accent2" w:themeFillShade="BF"/>
            <w:vAlign w:val="center"/>
          </w:tcPr>
          <w:p>
            <w:pPr>
              <w:spacing w:before="0" w:after="0" w:line="240" w:lineRule="auto"/>
              <w:rPr>
                <w:rFonts w:ascii="宋体" w:hAnsi="宋体" w:eastAsia="宋体" w:cs="Arial"/>
                <w:b/>
                <w:bCs/>
                <w:color w:val="FFFFFF" w:themeColor="background1"/>
                <w:sz w:val="24"/>
                <w:szCs w:val="24"/>
                <w14:textFill>
                  <w14:solidFill>
                    <w14:schemeClr w14:val="bg1"/>
                  </w14:solidFill>
                </w14:textFill>
              </w:rPr>
            </w:pPr>
            <w:r>
              <w:rPr>
                <w:rFonts w:hint="eastAsia" w:ascii="宋体" w:hAnsi="宋体" w:eastAsia="宋体" w:cs="Arial"/>
                <w:b/>
                <w:bCs/>
                <w:color w:val="FFFFFF" w:themeColor="background1"/>
                <w:sz w:val="24"/>
                <w:szCs w:val="24"/>
                <w14:textFill>
                  <w14:solidFill>
                    <w14:schemeClr w14:val="bg1"/>
                  </w14:solidFill>
                </w14:textFill>
              </w:rPr>
              <w:t>很不相关</w:t>
            </w:r>
          </w:p>
        </w:tc>
        <w:tc>
          <w:tcPr>
            <w:tcW w:w="1134" w:type="dxa"/>
            <w:tcBorders>
              <w:top w:val="single" w:color="72A376" w:themeColor="accent1" w:sz="8" w:space="0"/>
              <w:bottom w:val="single" w:color="72A376" w:themeColor="accent1" w:sz="18" w:space="0"/>
              <w:right w:val="single" w:color="72A376" w:themeColor="accent1" w:sz="8" w:space="0"/>
              <w:insideH w:val="single" w:sz="18" w:space="0"/>
              <w:insideV w:val="single" w:sz="8" w:space="0"/>
            </w:tcBorders>
            <w:shd w:val="clear" w:color="auto" w:fill="76A676" w:themeFill="accent2" w:themeFillShade="BF"/>
            <w:vAlign w:val="center"/>
          </w:tcPr>
          <w:p>
            <w:pPr>
              <w:spacing w:before="0" w:after="0" w:line="240" w:lineRule="auto"/>
              <w:rPr>
                <w:rFonts w:ascii="宋体" w:hAnsi="宋体" w:eastAsia="宋体" w:cs="Arial"/>
                <w:b/>
                <w:bCs/>
                <w:color w:val="FFFFFF" w:themeColor="background1"/>
                <w:sz w:val="24"/>
                <w:szCs w:val="24"/>
                <w14:textFill>
                  <w14:solidFill>
                    <w14:schemeClr w14:val="bg1"/>
                  </w14:solidFill>
                </w14:textFill>
              </w:rPr>
            </w:pPr>
            <w:r>
              <w:rPr>
                <w:rFonts w:hint="eastAsia" w:ascii="宋体" w:hAnsi="宋体" w:eastAsia="宋体" w:cs="Arial"/>
                <w:b/>
                <w:bCs/>
                <w:color w:val="FFFFFF" w:themeColor="background1"/>
                <w:sz w:val="24"/>
                <w:szCs w:val="24"/>
                <w14:textFill>
                  <w14:solidFill>
                    <w14:schemeClr w14:val="bg1"/>
                  </w14:solidFill>
                </w14:textFill>
              </w:rPr>
              <w:t>相关度</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6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rPr>
                <w:rFonts w:ascii="Arial" w:hAnsi="Arial" w:eastAsia="宋体" w:cs="Arial"/>
                <w:b/>
                <w:bCs/>
                <w:sz w:val="18"/>
                <w:szCs w:val="18"/>
              </w:rPr>
            </w:pPr>
            <w:r>
              <w:rPr>
                <w:rFonts w:ascii="Arial" w:hAnsi="Arial" w:eastAsia="宋体" w:cs="Arial"/>
                <w:b/>
                <w:bCs/>
                <w:sz w:val="18"/>
                <w:szCs w:val="18"/>
              </w:rPr>
              <w:t>眼视光技术</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65.4%</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26.9%</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7.7%</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0.0%</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0.0%</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100.0%</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rPr>
                <w:rFonts w:ascii="Arial" w:hAnsi="Arial" w:eastAsia="宋体" w:cs="Arial"/>
                <w:b/>
                <w:bCs/>
                <w:sz w:val="18"/>
                <w:szCs w:val="18"/>
              </w:rPr>
            </w:pPr>
            <w:r>
              <w:rPr>
                <w:rFonts w:ascii="Arial" w:hAnsi="Arial" w:eastAsia="宋体" w:cs="Arial"/>
                <w:b/>
                <w:bCs/>
                <w:sz w:val="18"/>
                <w:szCs w:val="18"/>
              </w:rPr>
              <w:t>药品质量检测技术</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55.6%</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11.1%</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33.3%</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0.0%</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0.0%</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100.0%</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rPr>
                <w:rFonts w:ascii="Arial" w:hAnsi="Arial" w:eastAsia="宋体" w:cs="Arial"/>
                <w:b/>
                <w:bCs/>
                <w:sz w:val="18"/>
                <w:szCs w:val="18"/>
              </w:rPr>
            </w:pPr>
            <w:r>
              <w:rPr>
                <w:rFonts w:ascii="Arial" w:hAnsi="Arial" w:eastAsia="宋体" w:cs="Arial"/>
                <w:b/>
                <w:bCs/>
                <w:sz w:val="18"/>
                <w:szCs w:val="18"/>
              </w:rPr>
              <w:t>医学影像技术</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60.0%</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40.0%</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0.0%</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0.0%</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0.0%</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100.0%</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rPr>
                <w:rFonts w:ascii="Arial" w:hAnsi="Arial" w:eastAsia="宋体" w:cs="Arial"/>
                <w:b/>
                <w:bCs/>
                <w:sz w:val="18"/>
                <w:szCs w:val="18"/>
              </w:rPr>
            </w:pPr>
            <w:r>
              <w:rPr>
                <w:rFonts w:ascii="Arial" w:hAnsi="Arial" w:eastAsia="宋体" w:cs="Arial"/>
                <w:b/>
                <w:bCs/>
                <w:sz w:val="18"/>
                <w:szCs w:val="18"/>
              </w:rPr>
              <w:t>针灸推拿</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75.0%</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12.5%</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12.5%</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0.0%</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0.0%</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100.0%</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rPr>
                <w:rFonts w:ascii="Arial" w:hAnsi="Arial" w:eastAsia="宋体" w:cs="Arial"/>
                <w:b/>
                <w:bCs/>
                <w:sz w:val="18"/>
                <w:szCs w:val="18"/>
              </w:rPr>
            </w:pPr>
            <w:r>
              <w:rPr>
                <w:rFonts w:ascii="Arial" w:hAnsi="Arial" w:eastAsia="宋体" w:cs="Arial"/>
                <w:b/>
                <w:bCs/>
                <w:sz w:val="18"/>
                <w:szCs w:val="18"/>
              </w:rPr>
              <w:t>临床医学</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55.9%</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30.5%</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10.6%</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1.7%</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1.3%</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97.0%</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rPr>
                <w:rFonts w:ascii="Arial" w:hAnsi="Arial" w:eastAsia="宋体" w:cs="Arial"/>
                <w:b/>
                <w:bCs/>
                <w:sz w:val="18"/>
                <w:szCs w:val="18"/>
              </w:rPr>
            </w:pPr>
            <w:r>
              <w:rPr>
                <w:rFonts w:ascii="Arial" w:hAnsi="Arial" w:eastAsia="宋体" w:cs="Arial"/>
                <w:b/>
                <w:bCs/>
                <w:sz w:val="18"/>
                <w:szCs w:val="18"/>
              </w:rPr>
              <w:t>护理</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68.8%</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18.8%</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8.5%</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0.6%</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3.4%</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96.0%</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rPr>
                <w:rFonts w:ascii="Arial" w:hAnsi="Arial" w:eastAsia="宋体" w:cs="Arial"/>
                <w:b/>
                <w:bCs/>
                <w:sz w:val="18"/>
                <w:szCs w:val="18"/>
              </w:rPr>
            </w:pPr>
            <w:r>
              <w:rPr>
                <w:rFonts w:ascii="Arial" w:hAnsi="Arial" w:eastAsia="宋体" w:cs="Arial"/>
                <w:b/>
                <w:bCs/>
                <w:sz w:val="18"/>
                <w:szCs w:val="18"/>
              </w:rPr>
              <w:t>卫生检验与检疫技术</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45.5%</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31.8%</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18.2%</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4.5%</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0.0%</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95.5%</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rPr>
                <w:rFonts w:ascii="Arial" w:hAnsi="Arial" w:eastAsia="宋体" w:cs="Arial"/>
                <w:b/>
                <w:bCs/>
                <w:sz w:val="18"/>
                <w:szCs w:val="18"/>
              </w:rPr>
            </w:pPr>
            <w:r>
              <w:rPr>
                <w:rFonts w:ascii="Arial" w:hAnsi="Arial" w:eastAsia="宋体" w:cs="Arial"/>
                <w:b/>
                <w:bCs/>
                <w:sz w:val="18"/>
                <w:szCs w:val="18"/>
              </w:rPr>
              <w:t>药学</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50.4%</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27.3%</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14.4%</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4.3%</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3.6%</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92.1%</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rPr>
                <w:rFonts w:ascii="Arial" w:hAnsi="Arial" w:eastAsia="宋体" w:cs="Arial"/>
                <w:b/>
                <w:bCs/>
                <w:sz w:val="18"/>
                <w:szCs w:val="18"/>
              </w:rPr>
            </w:pPr>
            <w:r>
              <w:rPr>
                <w:rFonts w:ascii="Arial" w:hAnsi="Arial" w:eastAsia="宋体" w:cs="Arial"/>
                <w:b/>
                <w:bCs/>
                <w:sz w:val="18"/>
                <w:szCs w:val="18"/>
              </w:rPr>
              <w:t>医学检验技术</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62.1%</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19.5%</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10.3%</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4.0%</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4.0%</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92.0%</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rPr>
                <w:rFonts w:ascii="Arial" w:hAnsi="Arial" w:eastAsia="宋体" w:cs="Arial"/>
                <w:b/>
                <w:bCs/>
                <w:sz w:val="18"/>
                <w:szCs w:val="18"/>
              </w:rPr>
            </w:pPr>
            <w:r>
              <w:rPr>
                <w:rFonts w:ascii="Arial" w:hAnsi="Arial" w:eastAsia="宋体" w:cs="Arial"/>
                <w:b/>
                <w:bCs/>
                <w:sz w:val="18"/>
                <w:szCs w:val="18"/>
              </w:rPr>
              <w:t>助产</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64.7%</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23.5%</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0.0%</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11.8%</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0.0%</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88.2%</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rPr>
                <w:rFonts w:ascii="Arial" w:hAnsi="Arial" w:eastAsia="宋体" w:cs="Arial"/>
                <w:b/>
                <w:bCs/>
                <w:sz w:val="18"/>
                <w:szCs w:val="18"/>
              </w:rPr>
            </w:pPr>
            <w:r>
              <w:rPr>
                <w:rFonts w:ascii="Arial" w:hAnsi="Arial" w:eastAsia="宋体" w:cs="Arial"/>
                <w:b/>
                <w:bCs/>
                <w:sz w:val="18"/>
                <w:szCs w:val="18"/>
              </w:rPr>
              <w:t>中药</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40.8%</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32.7%</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14.3%</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4.1%</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8.2%</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87.8%</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rPr>
                <w:rFonts w:ascii="Arial" w:hAnsi="Arial" w:eastAsia="宋体" w:cs="Arial"/>
                <w:b/>
                <w:bCs/>
                <w:sz w:val="18"/>
                <w:szCs w:val="18"/>
              </w:rPr>
            </w:pPr>
            <w:r>
              <w:rPr>
                <w:rFonts w:ascii="Arial" w:hAnsi="Arial" w:eastAsia="宋体" w:cs="Arial"/>
                <w:b/>
                <w:bCs/>
                <w:sz w:val="18"/>
                <w:szCs w:val="18"/>
              </w:rPr>
              <w:t>中药制药技术</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35.1%</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24.3%</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27.0%</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10.8%</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2.7%</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86.5%</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rPr>
                <w:rFonts w:ascii="Arial" w:hAnsi="Arial" w:eastAsia="宋体" w:cs="Arial"/>
                <w:b/>
                <w:bCs/>
                <w:sz w:val="18"/>
                <w:szCs w:val="18"/>
              </w:rPr>
            </w:pPr>
            <w:r>
              <w:rPr>
                <w:rFonts w:ascii="Arial" w:hAnsi="Arial" w:eastAsia="宋体" w:cs="Arial"/>
                <w:b/>
                <w:bCs/>
                <w:sz w:val="18"/>
                <w:szCs w:val="18"/>
              </w:rPr>
              <w:t>药物制剂技术</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24.1%</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34.5%</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27.6%</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6.9%</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6.9%</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86.2%</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rPr>
                <w:rFonts w:ascii="Arial" w:hAnsi="Arial" w:eastAsia="宋体" w:cs="Arial"/>
                <w:b/>
                <w:bCs/>
                <w:sz w:val="18"/>
                <w:szCs w:val="18"/>
              </w:rPr>
            </w:pPr>
            <w:r>
              <w:rPr>
                <w:rFonts w:ascii="Arial" w:hAnsi="Arial" w:eastAsia="宋体" w:cs="Arial"/>
                <w:b/>
                <w:bCs/>
                <w:sz w:val="18"/>
                <w:szCs w:val="18"/>
              </w:rPr>
              <w:t>康复治疗技术</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29.2%</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35.4%</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21.5%</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10.8%</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3.1%</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86.2%</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rPr>
                <w:rFonts w:ascii="Arial" w:hAnsi="Arial" w:eastAsia="宋体" w:cs="Arial"/>
                <w:b/>
                <w:bCs/>
                <w:sz w:val="18"/>
                <w:szCs w:val="18"/>
              </w:rPr>
            </w:pPr>
            <w:r>
              <w:rPr>
                <w:rFonts w:ascii="Arial" w:hAnsi="Arial" w:eastAsia="宋体" w:cs="Arial"/>
                <w:b/>
                <w:bCs/>
                <w:sz w:val="18"/>
                <w:szCs w:val="18"/>
              </w:rPr>
              <w:t>药品经营与管理</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28.6%</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38.1%</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19.0%</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14.3%</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0.0%</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85.7%</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rPr>
                <w:rFonts w:ascii="Arial" w:hAnsi="Arial" w:eastAsia="宋体" w:cs="Arial"/>
                <w:b/>
                <w:bCs/>
                <w:sz w:val="18"/>
                <w:szCs w:val="18"/>
              </w:rPr>
            </w:pPr>
            <w:r>
              <w:rPr>
                <w:rFonts w:ascii="Arial" w:hAnsi="Arial" w:eastAsia="宋体" w:cs="Arial"/>
                <w:b/>
                <w:bCs/>
                <w:sz w:val="18"/>
                <w:szCs w:val="18"/>
              </w:rPr>
              <w:t>中医学</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26.3%</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57.9%</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0.0%</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10.5%</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5.3%</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84.2%</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rPr>
                <w:rFonts w:ascii="Arial" w:hAnsi="Arial" w:eastAsia="宋体" w:cs="Arial"/>
                <w:b/>
                <w:bCs/>
                <w:sz w:val="18"/>
                <w:szCs w:val="18"/>
              </w:rPr>
            </w:pPr>
            <w:r>
              <w:rPr>
                <w:rFonts w:ascii="Arial" w:hAnsi="Arial" w:eastAsia="宋体" w:cs="Arial"/>
                <w:b/>
                <w:bCs/>
                <w:sz w:val="18"/>
                <w:szCs w:val="18"/>
              </w:rPr>
              <w:t>食品营养与检测</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25.0%</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35.0%</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15.0%</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15.0%</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10.0%</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75.0%</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rPr>
                <w:rFonts w:ascii="Arial" w:hAnsi="Arial" w:eastAsia="宋体" w:cs="Arial"/>
                <w:b/>
                <w:bCs/>
                <w:sz w:val="18"/>
                <w:szCs w:val="18"/>
              </w:rPr>
            </w:pPr>
            <w:r>
              <w:rPr>
                <w:rFonts w:ascii="Arial" w:hAnsi="Arial" w:eastAsia="宋体" w:cs="Arial"/>
                <w:b/>
                <w:bCs/>
                <w:sz w:val="18"/>
                <w:szCs w:val="18"/>
              </w:rPr>
              <w:t>医疗美容技术</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32.3%</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25.8%</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12.9%</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16.1%</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12.9%</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71.0%</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rPr>
                <w:rFonts w:ascii="Arial" w:hAnsi="Arial" w:eastAsia="宋体" w:cs="Arial"/>
                <w:b/>
                <w:bCs/>
                <w:sz w:val="18"/>
                <w:szCs w:val="18"/>
              </w:rPr>
            </w:pPr>
            <w:r>
              <w:rPr>
                <w:rFonts w:ascii="Arial" w:hAnsi="Arial" w:eastAsia="宋体" w:cs="Arial"/>
                <w:b/>
                <w:bCs/>
                <w:sz w:val="18"/>
                <w:szCs w:val="18"/>
              </w:rPr>
              <w:t>药剂设备制造与维护</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12.5%</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0.0%</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50.0%</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12.5%</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25.0%</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62.5%</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rPr>
                <w:rFonts w:ascii="Arial" w:hAnsi="Arial" w:eastAsia="宋体" w:cs="Arial"/>
                <w:b/>
                <w:bCs/>
                <w:sz w:val="18"/>
                <w:szCs w:val="18"/>
              </w:rPr>
            </w:pPr>
            <w:r>
              <w:rPr>
                <w:rFonts w:ascii="Arial" w:hAnsi="Arial" w:eastAsia="宋体" w:cs="Arial"/>
                <w:b/>
                <w:bCs/>
                <w:sz w:val="18"/>
                <w:szCs w:val="18"/>
              </w:rPr>
              <w:t>生物制药技术</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14.3%</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14.3%</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28.6%</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28.6%</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14.3%</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57.1%</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rPr>
                <w:rFonts w:ascii="Arial" w:hAnsi="Arial" w:eastAsia="宋体" w:cs="Arial"/>
                <w:b/>
                <w:bCs/>
                <w:sz w:val="18"/>
                <w:szCs w:val="18"/>
              </w:rPr>
            </w:pPr>
            <w:r>
              <w:rPr>
                <w:rFonts w:ascii="Arial" w:hAnsi="Arial" w:eastAsia="宋体" w:cs="Arial"/>
                <w:b/>
                <w:bCs/>
                <w:sz w:val="18"/>
                <w:szCs w:val="18"/>
              </w:rPr>
              <w:t>医学影像设备管理与维护</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11.1%</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22.2%</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11.1%</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44.4%</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11.1%</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shd w:val="clear" w:color="auto" w:fill="DCE8DD" w:themeFill="accent1" w:themeFillTint="3F"/>
          </w:tcPr>
          <w:p>
            <w:pPr>
              <w:spacing w:after="0" w:line="240" w:lineRule="auto"/>
              <w:jc w:val="right"/>
              <w:rPr>
                <w:rFonts w:ascii="Arial" w:hAnsi="Arial" w:eastAsia="宋体" w:cs="Arial"/>
                <w:sz w:val="18"/>
                <w:szCs w:val="18"/>
              </w:rPr>
            </w:pPr>
            <w:r>
              <w:rPr>
                <w:rFonts w:ascii="Arial" w:hAnsi="Arial" w:eastAsia="宋体" w:cs="Arial"/>
                <w:sz w:val="18"/>
                <w:szCs w:val="18"/>
              </w:rPr>
              <w:t>44.4%</w:t>
            </w:r>
          </w:p>
        </w:tc>
      </w:tr>
      <w:tr>
        <w:tblPrEx>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Ex>
        <w:trPr>
          <w:trHeight w:val="250" w:hRule="atLeast"/>
        </w:trPr>
        <w:tc>
          <w:tcPr>
            <w:tcW w:w="2093" w:type="dxa"/>
            <w:tcBorders>
              <w:top w:val="single" w:color="72A376" w:themeColor="accent1" w:sz="8" w:space="0"/>
              <w:left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rPr>
                <w:rFonts w:ascii="Arial" w:hAnsi="Arial" w:eastAsia="宋体" w:cs="Arial"/>
                <w:b/>
                <w:bCs/>
                <w:sz w:val="18"/>
                <w:szCs w:val="18"/>
              </w:rPr>
            </w:pPr>
            <w:r>
              <w:rPr>
                <w:rFonts w:ascii="Arial" w:hAnsi="Arial" w:eastAsia="宋体" w:cs="Arial"/>
                <w:b/>
                <w:bCs/>
                <w:sz w:val="18"/>
                <w:szCs w:val="18"/>
              </w:rPr>
              <w:t>医用电子仪器与维护</w:t>
            </w:r>
          </w:p>
        </w:tc>
        <w:tc>
          <w:tcPr>
            <w:tcW w:w="1417"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12.5%</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25.0%</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0.0%</w:t>
            </w:r>
          </w:p>
        </w:tc>
        <w:tc>
          <w:tcPr>
            <w:tcW w:w="1559"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12.5%</w:t>
            </w:r>
          </w:p>
        </w:tc>
        <w:tc>
          <w:tcPr>
            <w:tcW w:w="1276"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50.0%</w:t>
            </w:r>
          </w:p>
        </w:tc>
        <w:tc>
          <w:tcPr>
            <w:tcW w:w="1134" w:type="dxa"/>
            <w:tcBorders>
              <w:top w:val="single" w:color="72A376" w:themeColor="accent1" w:sz="8" w:space="0"/>
              <w:bottom w:val="single" w:color="72A376" w:themeColor="accent1" w:sz="8" w:space="0"/>
              <w:right w:val="single" w:color="72A376" w:themeColor="accent1" w:sz="8" w:space="0"/>
              <w:insideH w:val="single" w:sz="8" w:space="0"/>
              <w:insideV w:val="single" w:sz="8" w:space="0"/>
            </w:tcBorders>
          </w:tcPr>
          <w:p>
            <w:pPr>
              <w:spacing w:after="0" w:line="240" w:lineRule="auto"/>
              <w:jc w:val="right"/>
              <w:rPr>
                <w:rFonts w:ascii="Arial" w:hAnsi="Arial" w:eastAsia="宋体" w:cs="Arial"/>
                <w:sz w:val="18"/>
                <w:szCs w:val="18"/>
              </w:rPr>
            </w:pPr>
            <w:r>
              <w:rPr>
                <w:rFonts w:ascii="Arial" w:hAnsi="Arial" w:eastAsia="宋体" w:cs="Arial"/>
                <w:sz w:val="18"/>
                <w:szCs w:val="18"/>
              </w:rPr>
              <w:t>37.5%</w:t>
            </w:r>
          </w:p>
        </w:tc>
      </w:tr>
    </w:tbl>
    <w:p>
      <w:pPr>
        <w:spacing w:before="156" w:beforeLines="50" w:line="500" w:lineRule="exact"/>
        <w:rPr>
          <w:sz w:val="20"/>
          <w:szCs w:val="20"/>
        </w:rPr>
      </w:pPr>
      <w:r>
        <w:rPr>
          <w:rFonts w:hint="eastAsia"/>
          <w:sz w:val="20"/>
          <w:szCs w:val="20"/>
        </w:rPr>
        <w:t xml:space="preserve">注：专业相关度为选择“很相关”、“比较相关”和“一般”的人数占此题总人数的比例。 </w:t>
      </w:r>
    </w:p>
    <w:p>
      <w:pPr>
        <w:spacing w:before="156" w:beforeLines="50" w:line="500" w:lineRule="exact"/>
        <w:rPr>
          <w:sz w:val="20"/>
          <w:szCs w:val="20"/>
        </w:rPr>
      </w:pPr>
      <w:r>
        <w:rPr>
          <w:rFonts w:hint="eastAsia"/>
          <w:sz w:val="20"/>
          <w:szCs w:val="20"/>
        </w:rPr>
        <w:t>数据来源：第三方机构成都泽奥-2018 届毕业生就业与培养质量调查</w:t>
      </w:r>
    </w:p>
    <w:p>
      <w:pPr>
        <w:spacing w:line="360" w:lineRule="auto"/>
        <w:ind w:firstLine="689" w:firstLineChars="245"/>
        <w:rPr>
          <w:rFonts w:ascii="黑体" w:hAnsi="黑体" w:eastAsia="黑体"/>
          <w:sz w:val="28"/>
          <w:szCs w:val="28"/>
        </w:rPr>
      </w:pPr>
      <w:r>
        <w:rPr>
          <w:b/>
          <w:sz w:val="28"/>
          <w:szCs w:val="28"/>
        </w:rPr>
        <w:drawing>
          <wp:anchor distT="0" distB="0" distL="114300" distR="114300" simplePos="0" relativeHeight="251680768" behindDoc="0" locked="0" layoutInCell="1" allowOverlap="1">
            <wp:simplePos x="0" y="0"/>
            <wp:positionH relativeFrom="column">
              <wp:posOffset>634365</wp:posOffset>
            </wp:positionH>
            <wp:positionV relativeFrom="paragraph">
              <wp:posOffset>1029335</wp:posOffset>
            </wp:positionV>
            <wp:extent cx="4572000" cy="2743200"/>
            <wp:effectExtent l="0" t="0" r="19050" b="19050"/>
            <wp:wrapTopAndBottom/>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hint="eastAsia"/>
          <w:b/>
          <w:sz w:val="28"/>
          <w:szCs w:val="28"/>
        </w:rPr>
        <w:t>从事专业不相关工作的原因：</w:t>
      </w:r>
      <w:r>
        <w:rPr>
          <w:rFonts w:hint="eastAsia"/>
          <w:sz w:val="28"/>
          <w:szCs w:val="28"/>
        </w:rPr>
        <w:t>主要为“本专业相关工作与自己的兴趣不符”（35.8%）和“本专业相关工作机会少”（26</w:t>
      </w:r>
      <w:r>
        <w:rPr>
          <w:rFonts w:hint="eastAsia" w:ascii="黑体" w:hAnsi="黑体" w:eastAsia="黑体"/>
          <w:sz w:val="28"/>
          <w:szCs w:val="28"/>
        </w:rPr>
        <w:t>.4%）。</w:t>
      </w:r>
    </w:p>
    <w:p>
      <w:pPr>
        <w:spacing w:before="156" w:beforeLines="50"/>
        <w:jc w:val="center"/>
        <w:rPr>
          <w:rFonts w:ascii="黑体" w:hAnsi="黑体" w:eastAsia="黑体"/>
        </w:rPr>
      </w:pPr>
      <w:r>
        <w:rPr>
          <w:rFonts w:hint="eastAsia" w:ascii="黑体" w:hAnsi="黑体" w:eastAsia="黑体"/>
        </w:rPr>
        <w:t>图3-5 2018 毕业生选择与专业不相关工作的原因</w:t>
      </w:r>
    </w:p>
    <w:p>
      <w:pPr>
        <w:rPr>
          <w:sz w:val="20"/>
          <w:szCs w:val="20"/>
        </w:rPr>
      </w:pPr>
      <w:r>
        <w:rPr>
          <w:rFonts w:hint="eastAsia"/>
          <w:sz w:val="20"/>
          <w:szCs w:val="20"/>
        </w:rPr>
        <w:t>数据来源：第三方机构成都泽奥-2018 届毕业生就业与培养质量调查</w:t>
      </w:r>
    </w:p>
    <w:p>
      <w:pPr>
        <w:pStyle w:val="4"/>
      </w:pPr>
      <w:bookmarkStart w:id="27" w:name="_Toc533510647"/>
      <w:r>
        <w:rPr>
          <w:rFonts w:hint="eastAsia"/>
        </w:rPr>
        <w:t>（三）工作满意度</w:t>
      </w:r>
      <w:bookmarkEnd w:id="27"/>
    </w:p>
    <w:p>
      <w:pPr>
        <w:spacing w:line="360" w:lineRule="auto"/>
        <w:ind w:firstLine="560" w:firstLineChars="200"/>
        <w:rPr>
          <w:rFonts w:asciiTheme="minorEastAsia" w:hAnsiTheme="minorEastAsia"/>
          <w:sz w:val="28"/>
          <w:szCs w:val="28"/>
        </w:rPr>
      </w:pPr>
      <w:r>
        <w:rPr>
          <w:sz w:val="28"/>
          <w:szCs w:val="28"/>
        </w:rPr>
        <w:drawing>
          <wp:anchor distT="0" distB="0" distL="114300" distR="114300" simplePos="0" relativeHeight="251682816" behindDoc="0" locked="0" layoutInCell="1" allowOverlap="1">
            <wp:simplePos x="0" y="0"/>
            <wp:positionH relativeFrom="column">
              <wp:posOffset>412750</wp:posOffset>
            </wp:positionH>
            <wp:positionV relativeFrom="paragraph">
              <wp:posOffset>1595755</wp:posOffset>
            </wp:positionV>
            <wp:extent cx="5486400" cy="2264410"/>
            <wp:effectExtent l="0" t="0" r="19050" b="21590"/>
            <wp:wrapTopAndBottom/>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hint="eastAsia" w:asciiTheme="minorEastAsia" w:hAnsiTheme="minorEastAsia"/>
          <w:b/>
          <w:sz w:val="28"/>
          <w:szCs w:val="28"/>
        </w:rPr>
        <w:t>毕业生总体的工作满意度：</w:t>
      </w:r>
      <w:r>
        <w:rPr>
          <w:rFonts w:hint="eastAsia" w:asciiTheme="minorEastAsia" w:hAnsiTheme="minorEastAsia"/>
          <w:sz w:val="28"/>
          <w:szCs w:val="28"/>
        </w:rPr>
        <w:t>学校</w:t>
      </w:r>
      <w:r>
        <w:rPr>
          <w:rFonts w:cs="Times New Roman" w:asciiTheme="minorEastAsia" w:hAnsiTheme="minorEastAsia"/>
          <w:sz w:val="28"/>
          <w:szCs w:val="28"/>
        </w:rPr>
        <w:t>201</w:t>
      </w:r>
      <w:r>
        <w:rPr>
          <w:rFonts w:hint="eastAsia" w:cs="Times New Roman" w:asciiTheme="minorEastAsia" w:hAnsiTheme="minorEastAsia"/>
          <w:sz w:val="28"/>
          <w:szCs w:val="28"/>
        </w:rPr>
        <w:t>8</w:t>
      </w:r>
      <w:r>
        <w:rPr>
          <w:rFonts w:hint="eastAsia" w:asciiTheme="minorEastAsia" w:hAnsiTheme="minorEastAsia"/>
          <w:sz w:val="28"/>
          <w:szCs w:val="28"/>
        </w:rPr>
        <w:t>届毕业生对目前工作总的满意度为</w:t>
      </w:r>
      <w:r>
        <w:rPr>
          <w:rFonts w:hint="eastAsia" w:cs="Times New Roman" w:asciiTheme="minorEastAsia" w:hAnsiTheme="minorEastAsia"/>
          <w:sz w:val="28"/>
          <w:szCs w:val="28"/>
        </w:rPr>
        <w:t>91.8%</w:t>
      </w:r>
      <w:r>
        <w:rPr>
          <w:rFonts w:cs="Times New Roman" w:asciiTheme="minorEastAsia" w:hAnsiTheme="minorEastAsia"/>
          <w:sz w:val="28"/>
          <w:szCs w:val="28"/>
        </w:rPr>
        <w:t>%</w:t>
      </w:r>
      <w:r>
        <w:rPr>
          <w:rFonts w:hint="eastAsia" w:asciiTheme="minorEastAsia" w:hAnsiTheme="minorEastAsia"/>
          <w:sz w:val="28"/>
          <w:szCs w:val="28"/>
        </w:rPr>
        <w:t>，处于较高水平；其中对工作内容的满意度最高，为</w:t>
      </w:r>
      <w:r>
        <w:rPr>
          <w:rFonts w:hint="eastAsia" w:cs="Times New Roman" w:asciiTheme="minorEastAsia" w:hAnsiTheme="minorEastAsia"/>
          <w:sz w:val="28"/>
          <w:szCs w:val="28"/>
        </w:rPr>
        <w:t>92.7</w:t>
      </w:r>
      <w:r>
        <w:rPr>
          <w:rFonts w:cs="Times New Roman" w:asciiTheme="minorEastAsia" w:hAnsiTheme="minorEastAsia"/>
          <w:sz w:val="28"/>
          <w:szCs w:val="28"/>
        </w:rPr>
        <w:t>%</w:t>
      </w:r>
      <w:r>
        <w:rPr>
          <w:rFonts w:hint="eastAsia" w:asciiTheme="minorEastAsia" w:hAnsiTheme="minorEastAsia"/>
          <w:sz w:val="28"/>
          <w:szCs w:val="28"/>
        </w:rPr>
        <w:t>。从均值来看，均处于</w:t>
      </w:r>
      <w:r>
        <w:rPr>
          <w:rFonts w:cs="Times New Roman" w:asciiTheme="minorEastAsia" w:hAnsiTheme="minorEastAsia"/>
          <w:sz w:val="28"/>
          <w:szCs w:val="28"/>
        </w:rPr>
        <w:t>3.</w:t>
      </w:r>
      <w:r>
        <w:rPr>
          <w:rFonts w:hint="eastAsia" w:cs="Times New Roman" w:asciiTheme="minorEastAsia" w:hAnsiTheme="minorEastAsia"/>
          <w:sz w:val="28"/>
          <w:szCs w:val="28"/>
        </w:rPr>
        <w:t>6</w:t>
      </w:r>
      <w:r>
        <w:rPr>
          <w:rFonts w:hint="eastAsia" w:asciiTheme="minorEastAsia" w:hAnsiTheme="minorEastAsia"/>
          <w:sz w:val="28"/>
          <w:szCs w:val="28"/>
        </w:rPr>
        <w:t>分及以上（</w:t>
      </w:r>
      <w:r>
        <w:rPr>
          <w:rFonts w:cs="Times New Roman" w:asciiTheme="minorEastAsia" w:hAnsiTheme="minorEastAsia"/>
          <w:sz w:val="28"/>
          <w:szCs w:val="28"/>
        </w:rPr>
        <w:t>5</w:t>
      </w:r>
      <w:r>
        <w:rPr>
          <w:rFonts w:hint="eastAsia" w:asciiTheme="minorEastAsia" w:hAnsiTheme="minorEastAsia"/>
          <w:sz w:val="28"/>
          <w:szCs w:val="28"/>
        </w:rPr>
        <w:t>分制），处于</w:t>
      </w:r>
      <w:r>
        <w:rPr>
          <w:rFonts w:asciiTheme="minorEastAsia" w:hAnsiTheme="minorEastAsia"/>
          <w:sz w:val="28"/>
          <w:szCs w:val="28"/>
        </w:rPr>
        <w:t>“</w:t>
      </w:r>
      <w:r>
        <w:rPr>
          <w:rFonts w:hint="eastAsia" w:asciiTheme="minorEastAsia" w:hAnsiTheme="minorEastAsia"/>
          <w:sz w:val="28"/>
          <w:szCs w:val="28"/>
        </w:rPr>
        <w:t>满意</w:t>
      </w:r>
      <w:r>
        <w:rPr>
          <w:rFonts w:asciiTheme="minorEastAsia" w:hAnsiTheme="minorEastAsia"/>
          <w:sz w:val="28"/>
          <w:szCs w:val="28"/>
        </w:rPr>
        <w:t>”</w:t>
      </w:r>
      <w:r>
        <w:rPr>
          <w:rFonts w:hint="eastAsia" w:asciiTheme="minorEastAsia" w:hAnsiTheme="minorEastAsia"/>
          <w:sz w:val="28"/>
          <w:szCs w:val="28"/>
        </w:rPr>
        <w:t>水平。</w:t>
      </w:r>
    </w:p>
    <w:p>
      <w:pPr>
        <w:spacing w:before="156" w:beforeLines="50"/>
        <w:jc w:val="center"/>
        <w:rPr>
          <w:rFonts w:ascii="黑体" w:hAnsi="黑体" w:eastAsia="黑体"/>
        </w:rPr>
      </w:pPr>
      <w:r>
        <w:rPr>
          <w:rFonts w:hint="eastAsia" w:ascii="黑体" w:hAnsi="黑体" w:eastAsia="黑体"/>
        </w:rPr>
        <w:t>图3-6 2018 毕业生对工作总体满意度</w:t>
      </w:r>
    </w:p>
    <w:p>
      <w:pPr>
        <w:pStyle w:val="80"/>
        <w:rPr>
          <w:sz w:val="20"/>
          <w:szCs w:val="20"/>
        </w:rPr>
      </w:pPr>
      <w:r>
        <w:rPr>
          <w:rFonts w:hint="eastAsia"/>
          <w:sz w:val="20"/>
          <w:szCs w:val="20"/>
        </w:rPr>
        <w:t>注：评价维度包括</w:t>
      </w:r>
      <w:r>
        <w:rPr>
          <w:sz w:val="20"/>
          <w:szCs w:val="20"/>
        </w:rPr>
        <w:t>“</w:t>
      </w:r>
      <w:r>
        <w:rPr>
          <w:rFonts w:hint="eastAsia"/>
          <w:sz w:val="20"/>
          <w:szCs w:val="20"/>
        </w:rPr>
        <w:t>很不满意、比较不满意、一般、比较满意和非常满意</w:t>
      </w:r>
      <w:r>
        <w:rPr>
          <w:sz w:val="20"/>
          <w:szCs w:val="20"/>
        </w:rPr>
        <w:t>”</w:t>
      </w:r>
      <w:r>
        <w:rPr>
          <w:rFonts w:hint="eastAsia"/>
          <w:sz w:val="20"/>
          <w:szCs w:val="20"/>
        </w:rPr>
        <w:t>；其中，满意度为选择</w:t>
      </w:r>
      <w:r>
        <w:rPr>
          <w:sz w:val="20"/>
          <w:szCs w:val="20"/>
        </w:rPr>
        <w:t>“</w:t>
      </w:r>
      <w:r>
        <w:rPr>
          <w:rFonts w:hint="eastAsia"/>
          <w:sz w:val="20"/>
          <w:szCs w:val="20"/>
        </w:rPr>
        <w:t>非常满意</w:t>
      </w:r>
      <w:r>
        <w:rPr>
          <w:sz w:val="20"/>
          <w:szCs w:val="20"/>
        </w:rPr>
        <w:t>”</w:t>
      </w:r>
      <w:r>
        <w:rPr>
          <w:rFonts w:hint="eastAsia"/>
          <w:sz w:val="20"/>
          <w:szCs w:val="20"/>
        </w:rPr>
        <w:t>、</w:t>
      </w:r>
      <w:r>
        <w:rPr>
          <w:sz w:val="20"/>
          <w:szCs w:val="20"/>
        </w:rPr>
        <w:t>“</w:t>
      </w:r>
      <w:r>
        <w:rPr>
          <w:rFonts w:hint="eastAsia"/>
          <w:sz w:val="20"/>
          <w:szCs w:val="20"/>
        </w:rPr>
        <w:t>比较满意</w:t>
      </w:r>
      <w:r>
        <w:rPr>
          <w:sz w:val="20"/>
          <w:szCs w:val="20"/>
        </w:rPr>
        <w:t>”</w:t>
      </w:r>
      <w:r>
        <w:rPr>
          <w:rFonts w:hint="eastAsia"/>
          <w:sz w:val="20"/>
          <w:szCs w:val="20"/>
        </w:rPr>
        <w:t>和</w:t>
      </w:r>
      <w:r>
        <w:rPr>
          <w:sz w:val="20"/>
          <w:szCs w:val="20"/>
        </w:rPr>
        <w:t>“</w:t>
      </w:r>
      <w:r>
        <w:rPr>
          <w:rFonts w:hint="eastAsia"/>
          <w:sz w:val="20"/>
          <w:szCs w:val="20"/>
        </w:rPr>
        <w:t>一般</w:t>
      </w:r>
      <w:r>
        <w:rPr>
          <w:sz w:val="20"/>
          <w:szCs w:val="20"/>
        </w:rPr>
        <w:t>”</w:t>
      </w:r>
      <w:r>
        <w:rPr>
          <w:rFonts w:hint="eastAsia"/>
          <w:sz w:val="20"/>
          <w:szCs w:val="20"/>
        </w:rPr>
        <w:t>的人数占此题总人数的比例。另外针对毕业生的反馈分别赋予</w:t>
      </w:r>
      <w:r>
        <w:rPr>
          <w:sz w:val="20"/>
          <w:szCs w:val="20"/>
        </w:rPr>
        <w:t>1-5</w:t>
      </w:r>
      <w:r>
        <w:rPr>
          <w:rFonts w:hint="eastAsia"/>
          <w:sz w:val="20"/>
          <w:szCs w:val="20"/>
        </w:rPr>
        <w:t>分（</w:t>
      </w:r>
      <w:r>
        <w:rPr>
          <w:sz w:val="20"/>
          <w:szCs w:val="20"/>
        </w:rPr>
        <w:t>“</w:t>
      </w:r>
      <w:r>
        <w:rPr>
          <w:rFonts w:hint="eastAsia"/>
          <w:sz w:val="20"/>
          <w:szCs w:val="20"/>
        </w:rPr>
        <w:t>非常满意</w:t>
      </w:r>
      <w:r>
        <w:rPr>
          <w:sz w:val="20"/>
          <w:szCs w:val="20"/>
        </w:rPr>
        <w:t>”=5</w:t>
      </w:r>
      <w:r>
        <w:rPr>
          <w:rFonts w:hint="eastAsia"/>
          <w:sz w:val="20"/>
          <w:szCs w:val="20"/>
        </w:rPr>
        <w:t>分，</w:t>
      </w:r>
      <w:r>
        <w:rPr>
          <w:sz w:val="20"/>
          <w:szCs w:val="20"/>
        </w:rPr>
        <w:t>“</w:t>
      </w:r>
      <w:r>
        <w:rPr>
          <w:rFonts w:hint="eastAsia"/>
          <w:sz w:val="20"/>
          <w:szCs w:val="20"/>
        </w:rPr>
        <w:t>很不满意</w:t>
      </w:r>
      <w:r>
        <w:rPr>
          <w:sz w:val="20"/>
          <w:szCs w:val="20"/>
        </w:rPr>
        <w:t>”=1</w:t>
      </w:r>
      <w:r>
        <w:rPr>
          <w:rFonts w:hint="eastAsia"/>
          <w:sz w:val="20"/>
          <w:szCs w:val="20"/>
        </w:rPr>
        <w:t>分），计算其均值。</w:t>
      </w:r>
      <w:r>
        <w:rPr>
          <w:sz w:val="20"/>
          <w:szCs w:val="20"/>
        </w:rPr>
        <w:t xml:space="preserve"> </w:t>
      </w:r>
    </w:p>
    <w:p>
      <w:pPr>
        <w:rPr>
          <w:sz w:val="20"/>
          <w:szCs w:val="20"/>
        </w:rPr>
      </w:pPr>
      <w:r>
        <w:rPr>
          <w:rFonts w:hint="eastAsia"/>
          <w:sz w:val="20"/>
          <w:szCs w:val="20"/>
        </w:rPr>
        <w:t>数据来源：第三方机构成都泽奥</w:t>
      </w:r>
      <w:r>
        <w:rPr>
          <w:sz w:val="20"/>
          <w:szCs w:val="20"/>
        </w:rPr>
        <w:t>-201</w:t>
      </w:r>
      <w:r>
        <w:rPr>
          <w:rFonts w:hint="eastAsia"/>
          <w:sz w:val="20"/>
          <w:szCs w:val="20"/>
        </w:rPr>
        <w:t>8届毕业生就业与培养质量调查。</w:t>
      </w:r>
    </w:p>
    <w:p>
      <w:pPr>
        <w:pStyle w:val="4"/>
      </w:pPr>
      <w:bookmarkStart w:id="28" w:name="_Toc533510648"/>
      <w:r>
        <w:rPr>
          <w:rFonts w:hint="eastAsia"/>
        </w:rPr>
        <w:t>（四）职业期待吻合度</w:t>
      </w:r>
      <w:bookmarkEnd w:id="28"/>
    </w:p>
    <w:p>
      <w:pPr>
        <w:widowControl w:val="0"/>
        <w:autoSpaceDE w:val="0"/>
        <w:autoSpaceDN w:val="0"/>
        <w:adjustRightInd w:val="0"/>
        <w:spacing w:line="360" w:lineRule="auto"/>
        <w:ind w:firstLine="560" w:firstLineChars="200"/>
        <w:rPr>
          <w:rFonts w:ascii="宋体" w:hAnsi="Times New Roman" w:eastAsia="宋体" w:cs="宋体"/>
          <w:color w:val="000000"/>
          <w:sz w:val="28"/>
          <w:szCs w:val="28"/>
        </w:rPr>
      </w:pPr>
      <w:r>
        <w:rPr>
          <w:rFonts w:ascii="Times New Roman" w:hAnsi="Times New Roman" w:cs="Times New Roman"/>
          <w:color w:val="000000"/>
          <w:sz w:val="28"/>
          <w:szCs w:val="28"/>
        </w:rPr>
        <w:t>201</w:t>
      </w:r>
      <w:r>
        <w:rPr>
          <w:rFonts w:hint="eastAsia" w:ascii="Times New Roman" w:hAnsi="Times New Roman" w:cs="Times New Roman"/>
          <w:color w:val="000000"/>
          <w:sz w:val="28"/>
          <w:szCs w:val="28"/>
        </w:rPr>
        <w:t>8</w:t>
      </w:r>
      <w:r>
        <w:rPr>
          <w:rFonts w:hint="eastAsia" w:ascii="宋体" w:hAnsi="Times New Roman" w:eastAsia="宋体" w:cs="宋体"/>
          <w:color w:val="000000"/>
          <w:sz w:val="28"/>
          <w:szCs w:val="28"/>
        </w:rPr>
        <w:t>届毕业生目前所从事的工作与自身职业期待的吻合度为</w:t>
      </w:r>
      <w:r>
        <w:rPr>
          <w:rFonts w:hint="eastAsia" w:ascii="Times New Roman" w:hAnsi="Times New Roman" w:eastAsia="宋体" w:cs="Times New Roman"/>
          <w:color w:val="000000"/>
          <w:sz w:val="28"/>
          <w:szCs w:val="28"/>
        </w:rPr>
        <w:t>75.1</w:t>
      </w:r>
      <w:r>
        <w:rPr>
          <w:rFonts w:ascii="Times New Roman" w:hAnsi="Times New Roman" w:eastAsia="宋体" w:cs="Times New Roman"/>
          <w:color w:val="000000"/>
          <w:sz w:val="28"/>
          <w:szCs w:val="28"/>
        </w:rPr>
        <w:t>%</w:t>
      </w:r>
      <w:r>
        <w:rPr>
          <w:rFonts w:hint="eastAsia" w:ascii="宋体" w:hAnsi="Times New Roman" w:eastAsia="宋体" w:cs="宋体"/>
          <w:color w:val="000000"/>
          <w:sz w:val="28"/>
          <w:szCs w:val="28"/>
        </w:rPr>
        <w:t>，其中</w:t>
      </w:r>
      <w:r>
        <w:rPr>
          <w:rFonts w:ascii="宋体" w:hAnsi="Times New Roman" w:eastAsia="宋体" w:cs="宋体"/>
          <w:color w:val="000000"/>
          <w:sz w:val="28"/>
          <w:szCs w:val="28"/>
        </w:rPr>
        <w:t>“</w:t>
      </w:r>
      <w:r>
        <w:rPr>
          <w:rFonts w:hint="eastAsia" w:ascii="宋体" w:hAnsi="Times New Roman" w:eastAsia="宋体" w:cs="宋体"/>
          <w:color w:val="000000"/>
          <w:sz w:val="28"/>
          <w:szCs w:val="28"/>
        </w:rPr>
        <w:t>非常符合</w:t>
      </w:r>
      <w:r>
        <w:rPr>
          <w:rFonts w:ascii="宋体" w:hAnsi="Times New Roman" w:eastAsia="宋体" w:cs="宋体"/>
          <w:color w:val="000000"/>
          <w:sz w:val="28"/>
          <w:szCs w:val="28"/>
        </w:rPr>
        <w:t>”</w:t>
      </w:r>
      <w:r>
        <w:rPr>
          <w:rFonts w:hint="eastAsia" w:ascii="宋体" w:hAnsi="Times New Roman" w:eastAsia="宋体" w:cs="宋体"/>
          <w:color w:val="000000"/>
          <w:sz w:val="28"/>
          <w:szCs w:val="28"/>
        </w:rPr>
        <w:t>所占比例为</w:t>
      </w:r>
      <w:r>
        <w:rPr>
          <w:rFonts w:hint="eastAsia" w:ascii="Times New Roman" w:hAnsi="Times New Roman" w:eastAsia="宋体" w:cs="Times New Roman"/>
          <w:color w:val="000000"/>
          <w:sz w:val="28"/>
          <w:szCs w:val="28"/>
        </w:rPr>
        <w:t>13.3</w:t>
      </w:r>
      <w:r>
        <w:rPr>
          <w:rFonts w:ascii="Times New Roman" w:hAnsi="Times New Roman" w:eastAsia="宋体" w:cs="Times New Roman"/>
          <w:color w:val="000000"/>
          <w:sz w:val="28"/>
          <w:szCs w:val="28"/>
        </w:rPr>
        <w:t>%</w:t>
      </w:r>
      <w:r>
        <w:rPr>
          <w:rFonts w:hint="eastAsia" w:ascii="宋体" w:hAnsi="Times New Roman" w:eastAsia="宋体" w:cs="宋体"/>
          <w:color w:val="000000"/>
          <w:sz w:val="28"/>
          <w:szCs w:val="28"/>
        </w:rPr>
        <w:t>，</w:t>
      </w:r>
      <w:r>
        <w:rPr>
          <w:rFonts w:ascii="宋体" w:hAnsi="Times New Roman" w:eastAsia="宋体" w:cs="宋体"/>
          <w:color w:val="000000"/>
          <w:sz w:val="28"/>
          <w:szCs w:val="28"/>
        </w:rPr>
        <w:t>“</w:t>
      </w:r>
      <w:r>
        <w:rPr>
          <w:rFonts w:hint="eastAsia" w:ascii="宋体" w:hAnsi="Times New Roman" w:eastAsia="宋体" w:cs="宋体"/>
          <w:color w:val="000000"/>
          <w:sz w:val="28"/>
          <w:szCs w:val="28"/>
        </w:rPr>
        <w:t>比较符合</w:t>
      </w:r>
      <w:r>
        <w:rPr>
          <w:rFonts w:ascii="宋体" w:hAnsi="Times New Roman" w:eastAsia="宋体" w:cs="宋体"/>
          <w:color w:val="000000"/>
          <w:sz w:val="28"/>
          <w:szCs w:val="28"/>
        </w:rPr>
        <w:t>”</w:t>
      </w:r>
      <w:r>
        <w:rPr>
          <w:rFonts w:hint="eastAsia" w:ascii="宋体" w:hAnsi="Times New Roman" w:eastAsia="宋体" w:cs="宋体"/>
          <w:color w:val="000000"/>
          <w:sz w:val="28"/>
          <w:szCs w:val="28"/>
        </w:rPr>
        <w:t>所占比例为</w:t>
      </w:r>
      <w:r>
        <w:rPr>
          <w:rFonts w:hint="eastAsia" w:ascii="Times New Roman" w:hAnsi="Times New Roman" w:eastAsia="宋体" w:cs="Times New Roman"/>
          <w:color w:val="000000"/>
          <w:sz w:val="28"/>
          <w:szCs w:val="28"/>
        </w:rPr>
        <w:t>35.4</w:t>
      </w:r>
      <w:r>
        <w:rPr>
          <w:rFonts w:ascii="Times New Roman" w:hAnsi="Times New Roman" w:eastAsia="宋体" w:cs="Times New Roman"/>
          <w:color w:val="000000"/>
          <w:sz w:val="28"/>
          <w:szCs w:val="28"/>
        </w:rPr>
        <w:t>%</w:t>
      </w:r>
      <w:r>
        <w:rPr>
          <w:rFonts w:hint="eastAsia" w:ascii="宋体" w:hAnsi="Times New Roman" w:eastAsia="宋体" w:cs="宋体"/>
          <w:color w:val="000000"/>
          <w:sz w:val="28"/>
          <w:szCs w:val="28"/>
        </w:rPr>
        <w:t>。</w:t>
      </w:r>
      <w:r>
        <w:rPr>
          <w:rFonts w:ascii="宋体" w:hAnsi="Times New Roman" w:eastAsia="宋体" w:cs="宋体"/>
          <w:color w:val="000000"/>
          <w:sz w:val="28"/>
          <w:szCs w:val="28"/>
        </w:rPr>
        <w:t xml:space="preserve"> </w:t>
      </w:r>
    </w:p>
    <w:p>
      <w:pPr>
        <w:jc w:val="center"/>
      </w:pPr>
      <w:r>
        <w:drawing>
          <wp:inline distT="0" distB="0" distL="0" distR="0">
            <wp:extent cx="4292600" cy="2374900"/>
            <wp:effectExtent l="0" t="0" r="12700" b="2540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jc w:val="center"/>
        <w:rPr>
          <w:rFonts w:ascii="黑体" w:hAnsi="黑体" w:eastAsia="黑体"/>
        </w:rPr>
      </w:pPr>
      <w:r>
        <w:rPr>
          <w:rFonts w:hint="eastAsia" w:ascii="黑体" w:hAnsi="黑体" w:eastAsia="黑体" w:cs="黑体"/>
          <w:color w:val="000000"/>
        </w:rPr>
        <w:t>图</w:t>
      </w:r>
      <w:r>
        <w:rPr>
          <w:rFonts w:hint="eastAsia" w:ascii="黑体" w:hAnsi="黑体" w:eastAsia="黑体" w:cs="Times New Roman"/>
          <w:bCs/>
          <w:color w:val="000000"/>
        </w:rPr>
        <w:t>3</w:t>
      </w:r>
      <w:r>
        <w:rPr>
          <w:rFonts w:ascii="黑体" w:hAnsi="黑体" w:eastAsia="黑体" w:cs="Times New Roman"/>
          <w:bCs/>
          <w:color w:val="000000"/>
        </w:rPr>
        <w:t>-</w:t>
      </w:r>
      <w:r>
        <w:rPr>
          <w:rFonts w:hint="eastAsia" w:ascii="黑体" w:hAnsi="黑体" w:eastAsia="黑体" w:cs="Times New Roman"/>
          <w:bCs/>
          <w:color w:val="000000"/>
        </w:rPr>
        <w:t>8</w:t>
      </w:r>
      <w:r>
        <w:rPr>
          <w:rFonts w:ascii="黑体" w:hAnsi="黑体" w:eastAsia="黑体" w:cs="Times New Roman"/>
          <w:bCs/>
          <w:color w:val="000000"/>
        </w:rPr>
        <w:t xml:space="preserve"> 201</w:t>
      </w:r>
      <w:r>
        <w:rPr>
          <w:rFonts w:hint="eastAsia" w:ascii="黑体" w:hAnsi="黑体" w:eastAsia="黑体" w:cs="Times New Roman"/>
          <w:bCs/>
          <w:color w:val="000000"/>
        </w:rPr>
        <w:t>8</w:t>
      </w:r>
      <w:r>
        <w:rPr>
          <w:rFonts w:hint="eastAsia" w:ascii="黑体" w:hAnsi="黑体" w:eastAsia="黑体" w:cs="黑体"/>
          <w:color w:val="000000"/>
        </w:rPr>
        <w:t>届毕业生职业期待吻合度分布</w:t>
      </w:r>
    </w:p>
    <w:p>
      <w:pPr>
        <w:widowControl w:val="0"/>
        <w:autoSpaceDE w:val="0"/>
        <w:autoSpaceDN w:val="0"/>
        <w:adjustRightInd w:val="0"/>
        <w:spacing w:line="240" w:lineRule="auto"/>
        <w:rPr>
          <w:rFonts w:ascii="宋体" w:hAnsi="Times New Roman" w:eastAsia="宋体" w:cs="宋体"/>
          <w:color w:val="000000"/>
          <w:sz w:val="20"/>
          <w:szCs w:val="20"/>
        </w:rPr>
      </w:pPr>
      <w:r>
        <w:rPr>
          <w:rFonts w:hint="eastAsia" w:ascii="宋体" w:hAnsi="Times New Roman" w:eastAsia="宋体" w:cs="宋体"/>
          <w:color w:val="000000"/>
          <w:sz w:val="20"/>
          <w:szCs w:val="20"/>
        </w:rPr>
        <w:t>注：职业期待吻合度为选择</w:t>
      </w:r>
      <w:r>
        <w:rPr>
          <w:rFonts w:ascii="宋体" w:hAnsi="Times New Roman" w:eastAsia="宋体" w:cs="宋体"/>
          <w:color w:val="000000"/>
          <w:sz w:val="20"/>
          <w:szCs w:val="20"/>
        </w:rPr>
        <w:t>“</w:t>
      </w:r>
      <w:r>
        <w:rPr>
          <w:rFonts w:hint="eastAsia" w:ascii="宋体" w:hAnsi="Times New Roman" w:eastAsia="宋体" w:cs="宋体"/>
          <w:color w:val="000000"/>
          <w:sz w:val="20"/>
          <w:szCs w:val="20"/>
        </w:rPr>
        <w:t>很符合</w:t>
      </w:r>
      <w:r>
        <w:rPr>
          <w:rFonts w:ascii="宋体" w:hAnsi="Times New Roman" w:eastAsia="宋体" w:cs="宋体"/>
          <w:color w:val="000000"/>
          <w:sz w:val="20"/>
          <w:szCs w:val="20"/>
        </w:rPr>
        <w:t>”</w:t>
      </w:r>
      <w:r>
        <w:rPr>
          <w:rFonts w:hint="eastAsia" w:ascii="宋体" w:hAnsi="Times New Roman" w:eastAsia="宋体" w:cs="宋体"/>
          <w:color w:val="000000"/>
          <w:sz w:val="20"/>
          <w:szCs w:val="20"/>
        </w:rPr>
        <w:t>、</w:t>
      </w:r>
      <w:r>
        <w:rPr>
          <w:rFonts w:ascii="宋体" w:hAnsi="Times New Roman" w:eastAsia="宋体" w:cs="宋体"/>
          <w:color w:val="000000"/>
          <w:sz w:val="20"/>
          <w:szCs w:val="20"/>
        </w:rPr>
        <w:t>“</w:t>
      </w:r>
      <w:r>
        <w:rPr>
          <w:rFonts w:hint="eastAsia" w:ascii="宋体" w:hAnsi="Times New Roman" w:eastAsia="宋体" w:cs="宋体"/>
          <w:color w:val="000000"/>
          <w:sz w:val="20"/>
          <w:szCs w:val="20"/>
        </w:rPr>
        <w:t>比较符合</w:t>
      </w:r>
      <w:r>
        <w:rPr>
          <w:rFonts w:ascii="宋体" w:hAnsi="Times New Roman" w:eastAsia="宋体" w:cs="宋体"/>
          <w:color w:val="000000"/>
          <w:sz w:val="20"/>
          <w:szCs w:val="20"/>
        </w:rPr>
        <w:t>”</w:t>
      </w:r>
      <w:r>
        <w:rPr>
          <w:rFonts w:hint="eastAsia" w:ascii="宋体" w:hAnsi="Times New Roman" w:eastAsia="宋体" w:cs="宋体"/>
          <w:color w:val="000000"/>
          <w:sz w:val="20"/>
          <w:szCs w:val="20"/>
        </w:rPr>
        <w:t>和</w:t>
      </w:r>
      <w:r>
        <w:rPr>
          <w:rFonts w:ascii="宋体" w:hAnsi="Times New Roman" w:eastAsia="宋体" w:cs="宋体"/>
          <w:color w:val="000000"/>
          <w:sz w:val="20"/>
          <w:szCs w:val="20"/>
        </w:rPr>
        <w:t>“</w:t>
      </w:r>
      <w:r>
        <w:rPr>
          <w:rFonts w:hint="eastAsia" w:ascii="宋体" w:hAnsi="Times New Roman" w:eastAsia="宋体" w:cs="宋体"/>
          <w:color w:val="000000"/>
          <w:sz w:val="20"/>
          <w:szCs w:val="20"/>
        </w:rPr>
        <w:t>一般</w:t>
      </w:r>
      <w:r>
        <w:rPr>
          <w:rFonts w:ascii="宋体" w:hAnsi="Times New Roman" w:eastAsia="宋体" w:cs="宋体"/>
          <w:color w:val="000000"/>
          <w:sz w:val="20"/>
          <w:szCs w:val="20"/>
        </w:rPr>
        <w:t>”</w:t>
      </w:r>
      <w:r>
        <w:rPr>
          <w:rFonts w:hint="eastAsia" w:ascii="宋体" w:hAnsi="Times New Roman" w:eastAsia="宋体" w:cs="宋体"/>
          <w:color w:val="000000"/>
          <w:sz w:val="20"/>
          <w:szCs w:val="20"/>
        </w:rPr>
        <w:t>的人数占此题总人数的比例。</w:t>
      </w:r>
      <w:r>
        <w:rPr>
          <w:rFonts w:ascii="宋体" w:hAnsi="Times New Roman" w:eastAsia="宋体" w:cs="宋体"/>
          <w:color w:val="000000"/>
          <w:sz w:val="20"/>
          <w:szCs w:val="20"/>
        </w:rPr>
        <w:t xml:space="preserve"> </w:t>
      </w:r>
    </w:p>
    <w:p>
      <w:pPr>
        <w:spacing w:line="240" w:lineRule="auto"/>
        <w:rPr>
          <w:sz w:val="20"/>
          <w:szCs w:val="20"/>
        </w:rPr>
      </w:pPr>
      <w:r>
        <w:rPr>
          <w:rFonts w:hint="eastAsia" w:ascii="宋体" w:hAnsi="Times New Roman" w:eastAsia="宋体" w:cs="宋体"/>
          <w:color w:val="000000"/>
          <w:sz w:val="20"/>
          <w:szCs w:val="20"/>
        </w:rPr>
        <w:t>数据来源：第三方机构成都泽奥</w:t>
      </w:r>
      <w:r>
        <w:rPr>
          <w:rFonts w:ascii="宋体" w:hAnsi="Times New Roman" w:eastAsia="宋体" w:cs="宋体"/>
          <w:color w:val="000000"/>
          <w:sz w:val="20"/>
          <w:szCs w:val="20"/>
        </w:rPr>
        <w:t>-201</w:t>
      </w:r>
      <w:r>
        <w:rPr>
          <w:rFonts w:hint="eastAsia" w:ascii="宋体" w:hAnsi="Times New Roman" w:eastAsia="宋体" w:cs="宋体"/>
          <w:color w:val="000000"/>
          <w:sz w:val="20"/>
          <w:szCs w:val="20"/>
        </w:rPr>
        <w:t>8届毕业生就业与培养质量调查。</w:t>
      </w:r>
    </w:p>
    <w:p>
      <w:pPr>
        <w:pStyle w:val="3"/>
        <w:rPr>
          <w:rStyle w:val="27"/>
          <w:color w:val="72A376" w:themeColor="accent1"/>
          <w14:textFill>
            <w14:solidFill>
              <w14:schemeClr w14:val="accent1"/>
            </w14:solidFill>
          </w14:textFill>
        </w:rPr>
      </w:pPr>
      <w:bookmarkStart w:id="29" w:name="_Toc533510649"/>
      <w:r>
        <w:rPr>
          <w:rStyle w:val="27"/>
          <w:rFonts w:hint="eastAsia"/>
          <w:color w:val="72A376" w:themeColor="accent1"/>
          <w14:textFill>
            <w14:solidFill>
              <w14:schemeClr w14:val="accent1"/>
            </w14:solidFill>
          </w14:textFill>
        </w:rPr>
        <w:t>二</w:t>
      </w:r>
      <w:r>
        <w:rPr>
          <w:rStyle w:val="27"/>
          <w:color w:val="72A376" w:themeColor="accent1"/>
          <w14:textFill>
            <w14:solidFill>
              <w14:schemeClr w14:val="accent1"/>
            </w14:solidFill>
          </w14:textFill>
        </w:rPr>
        <w:t>、</w:t>
      </w:r>
      <w:r>
        <w:rPr>
          <w:rStyle w:val="27"/>
          <w:rFonts w:hint="eastAsia"/>
          <w:color w:val="72A376" w:themeColor="accent1"/>
          <w14:textFill>
            <w14:solidFill>
              <w14:schemeClr w14:val="accent1"/>
            </w14:solidFill>
          </w14:textFill>
        </w:rPr>
        <w:t>用人</w:t>
      </w:r>
      <w:r>
        <w:rPr>
          <w:rStyle w:val="27"/>
          <w:color w:val="72A376" w:themeColor="accent1"/>
          <w14:textFill>
            <w14:solidFill>
              <w14:schemeClr w14:val="accent1"/>
            </w14:solidFill>
          </w14:textFill>
        </w:rPr>
        <w:t>单位对毕业生</w:t>
      </w:r>
      <w:r>
        <w:rPr>
          <w:rStyle w:val="27"/>
          <w:rFonts w:hint="eastAsia"/>
          <w:color w:val="72A376" w:themeColor="accent1"/>
          <w14:textFill>
            <w14:solidFill>
              <w14:schemeClr w14:val="accent1"/>
            </w14:solidFill>
          </w14:textFill>
        </w:rPr>
        <w:t>的评价</w:t>
      </w:r>
      <w:bookmarkEnd w:id="29"/>
    </w:p>
    <w:p>
      <w:pPr>
        <w:pStyle w:val="4"/>
      </w:pPr>
      <w:bookmarkStart w:id="30" w:name="_Toc533510650"/>
      <w:r>
        <w:rPr>
          <w:rFonts w:hint="eastAsia"/>
        </w:rPr>
        <w:t>（一）用人单位对毕业生的满意度</w:t>
      </w:r>
      <w:bookmarkEnd w:id="30"/>
    </w:p>
    <w:p>
      <w:pPr>
        <w:spacing w:line="360" w:lineRule="auto"/>
        <w:ind w:firstLine="560" w:firstLineChars="200"/>
        <w:rPr>
          <w:sz w:val="28"/>
          <w:szCs w:val="28"/>
        </w:rPr>
      </w:pPr>
      <w:r>
        <w:rPr>
          <w:rFonts w:hint="eastAsia"/>
          <w:sz w:val="28"/>
          <w:szCs w:val="28"/>
        </w:rPr>
        <w:t>用人单位对毕业生的满意度为97.87%，其中非常满意为46.81%，比较满意为36.17%，说明企业对毕业生还是比较认可的。</w:t>
      </w:r>
    </w:p>
    <w:p>
      <w:pPr>
        <w:spacing w:line="360" w:lineRule="auto"/>
        <w:jc w:val="center"/>
        <w:rPr>
          <w:rFonts w:ascii="黑体" w:hAnsi="黑体" w:eastAsia="黑体" w:cs="黑体"/>
          <w:color w:val="000000"/>
        </w:rPr>
      </w:pPr>
      <w:r>
        <w:drawing>
          <wp:inline distT="0" distB="0" distL="0" distR="0">
            <wp:extent cx="5512435" cy="2113280"/>
            <wp:effectExtent l="0" t="0" r="12065" b="2032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line="360" w:lineRule="auto"/>
        <w:jc w:val="center"/>
        <w:rPr>
          <w:rFonts w:ascii="黑体" w:hAnsi="黑体" w:eastAsia="黑体" w:cs="黑体"/>
          <w:color w:val="000000"/>
        </w:rPr>
      </w:pPr>
      <w:r>
        <w:rPr>
          <w:rFonts w:hint="eastAsia" w:ascii="黑体" w:hAnsi="黑体" w:eastAsia="黑体" w:cs="黑体"/>
          <w:color w:val="000000"/>
        </w:rPr>
        <w:t>图</w:t>
      </w:r>
      <w:r>
        <w:rPr>
          <w:rFonts w:hint="eastAsia" w:ascii="黑体" w:hAnsi="黑体" w:eastAsia="黑体" w:cs="Times New Roman"/>
          <w:bCs/>
          <w:color w:val="000000"/>
        </w:rPr>
        <w:t>3</w:t>
      </w:r>
      <w:r>
        <w:rPr>
          <w:rFonts w:ascii="黑体" w:hAnsi="黑体" w:eastAsia="黑体" w:cs="Times New Roman"/>
          <w:bCs/>
          <w:color w:val="000000"/>
        </w:rPr>
        <w:t>-</w:t>
      </w:r>
      <w:r>
        <w:rPr>
          <w:rFonts w:hint="eastAsia" w:ascii="黑体" w:hAnsi="黑体" w:eastAsia="黑体" w:cs="Times New Roman"/>
          <w:bCs/>
          <w:color w:val="000000"/>
        </w:rPr>
        <w:t>9</w:t>
      </w:r>
      <w:r>
        <w:rPr>
          <w:rFonts w:ascii="黑体" w:hAnsi="黑体" w:eastAsia="黑体" w:cs="Times New Roman"/>
          <w:bCs/>
          <w:color w:val="000000"/>
        </w:rPr>
        <w:t xml:space="preserve"> 201</w:t>
      </w:r>
      <w:r>
        <w:rPr>
          <w:rFonts w:hint="eastAsia" w:ascii="黑体" w:hAnsi="黑体" w:eastAsia="黑体" w:cs="Times New Roman"/>
          <w:bCs/>
          <w:color w:val="000000"/>
        </w:rPr>
        <w:t>8</w:t>
      </w:r>
      <w:r>
        <w:rPr>
          <w:rFonts w:hint="eastAsia" w:ascii="黑体" w:hAnsi="黑体" w:eastAsia="黑体" w:cs="黑体"/>
          <w:color w:val="000000"/>
        </w:rPr>
        <w:t>用人单位对毕业生的满意度</w:t>
      </w:r>
    </w:p>
    <w:p>
      <w:pPr>
        <w:pStyle w:val="20"/>
        <w:spacing w:after="163" w:line="240" w:lineRule="auto"/>
        <w:rPr>
          <w:sz w:val="20"/>
          <w:szCs w:val="20"/>
        </w:rPr>
      </w:pPr>
      <w:r>
        <w:rPr>
          <w:rFonts w:hint="eastAsia"/>
          <w:sz w:val="20"/>
          <w:szCs w:val="20"/>
        </w:rPr>
        <w:t>注：“用人</w:t>
      </w:r>
      <w:r>
        <w:rPr>
          <w:sz w:val="20"/>
          <w:szCs w:val="20"/>
        </w:rPr>
        <w:t>单位对毕业生的评价</w:t>
      </w:r>
      <w:r>
        <w:rPr>
          <w:rFonts w:hint="eastAsia"/>
          <w:sz w:val="20"/>
          <w:szCs w:val="20"/>
        </w:rPr>
        <w:t>”</w:t>
      </w:r>
      <w:r>
        <w:rPr>
          <w:sz w:val="20"/>
          <w:szCs w:val="20"/>
        </w:rPr>
        <w:t>及</w:t>
      </w:r>
      <w:r>
        <w:rPr>
          <w:rFonts w:hint="eastAsia"/>
          <w:sz w:val="20"/>
          <w:szCs w:val="20"/>
        </w:rPr>
        <w:t>“用人单位对学校就业服务工作的评价”，</w:t>
      </w:r>
      <w:r>
        <w:rPr>
          <w:sz w:val="20"/>
          <w:szCs w:val="20"/>
        </w:rPr>
        <w:t>是</w:t>
      </w:r>
      <w:r>
        <w:rPr>
          <w:rFonts w:hint="eastAsia"/>
          <w:sz w:val="20"/>
          <w:szCs w:val="20"/>
        </w:rPr>
        <w:t>通过“用人</w:t>
      </w:r>
      <w:r>
        <w:rPr>
          <w:sz w:val="20"/>
          <w:szCs w:val="20"/>
        </w:rPr>
        <w:t>单位调研</w:t>
      </w:r>
      <w:r>
        <w:rPr>
          <w:rFonts w:hint="eastAsia"/>
          <w:sz w:val="20"/>
          <w:szCs w:val="20"/>
        </w:rPr>
        <w:t>获取</w:t>
      </w:r>
      <w:r>
        <w:rPr>
          <w:sz w:val="20"/>
          <w:szCs w:val="20"/>
        </w:rPr>
        <w:t>数据</w:t>
      </w:r>
      <w:r>
        <w:rPr>
          <w:rFonts w:hint="eastAsia"/>
          <w:sz w:val="20"/>
          <w:szCs w:val="20"/>
        </w:rPr>
        <w:t>”</w:t>
      </w:r>
      <w:r>
        <w:rPr>
          <w:sz w:val="20"/>
          <w:szCs w:val="20"/>
        </w:rPr>
        <w:t>。</w:t>
      </w:r>
    </w:p>
    <w:p>
      <w:pPr>
        <w:spacing w:line="240" w:lineRule="auto"/>
        <w:rPr>
          <w:rFonts w:ascii="宋体" w:hAnsi="宋体" w:cs="宋体"/>
          <w:sz w:val="20"/>
          <w:szCs w:val="20"/>
        </w:rPr>
      </w:pPr>
      <w:r>
        <w:rPr>
          <w:rFonts w:hint="eastAsia" w:ascii="宋体" w:hAnsi="Times New Roman" w:eastAsia="宋体" w:cs="宋体"/>
          <w:color w:val="000000"/>
          <w:sz w:val="20"/>
          <w:szCs w:val="20"/>
        </w:rPr>
        <w:t>数据来源：第三方机构成都泽奥</w:t>
      </w:r>
      <w:r>
        <w:rPr>
          <w:rFonts w:ascii="宋体" w:hAnsi="Times New Roman" w:eastAsia="宋体" w:cs="宋体"/>
          <w:color w:val="000000"/>
          <w:sz w:val="20"/>
          <w:szCs w:val="20"/>
        </w:rPr>
        <w:t>-201</w:t>
      </w:r>
      <w:r>
        <w:rPr>
          <w:rFonts w:hint="eastAsia" w:ascii="宋体" w:hAnsi="Times New Roman" w:eastAsia="宋体" w:cs="宋体"/>
          <w:color w:val="000000"/>
          <w:sz w:val="20"/>
          <w:szCs w:val="20"/>
        </w:rPr>
        <w:t>8届毕业生就业与培养质量调查。</w:t>
      </w:r>
    </w:p>
    <w:p>
      <w:pPr>
        <w:pStyle w:val="4"/>
        <w:spacing w:line="360" w:lineRule="auto"/>
      </w:pPr>
      <w:bookmarkStart w:id="31" w:name="_Toc533510651"/>
      <w:r>
        <w:rPr>
          <w:rFonts w:hint="eastAsia"/>
        </w:rPr>
        <w:t>（二）用人单位对毕业生就业能力的评价</w:t>
      </w:r>
      <w:bookmarkEnd w:id="31"/>
    </w:p>
    <w:p>
      <w:pPr>
        <w:spacing w:line="360" w:lineRule="auto"/>
        <w:ind w:firstLine="560" w:firstLineChars="200"/>
        <w:rPr>
          <w:sz w:val="28"/>
          <w:szCs w:val="28"/>
        </w:rPr>
      </w:pPr>
      <w:r>
        <w:rPr>
          <w:sz w:val="28"/>
          <w:szCs w:val="28"/>
        </w:rPr>
        <w:t>用人单位对毕业生能力评价方面中</w:t>
      </w:r>
      <w:r>
        <w:rPr>
          <w:rFonts w:hint="eastAsia"/>
          <w:sz w:val="28"/>
          <w:szCs w:val="28"/>
        </w:rPr>
        <w:t>，表现较好的</w:t>
      </w:r>
      <w:r>
        <w:rPr>
          <w:sz w:val="28"/>
          <w:szCs w:val="28"/>
        </w:rPr>
        <w:t>灵</w:t>
      </w:r>
      <w:r>
        <w:rPr>
          <w:rFonts w:hint="eastAsia"/>
          <w:sz w:val="28"/>
          <w:szCs w:val="28"/>
        </w:rPr>
        <w:t>活</w:t>
      </w:r>
      <w:r>
        <w:rPr>
          <w:sz w:val="28"/>
          <w:szCs w:val="28"/>
        </w:rPr>
        <w:t>应变能力</w:t>
      </w:r>
      <w:r>
        <w:rPr>
          <w:rFonts w:hint="eastAsia"/>
          <w:sz w:val="28"/>
          <w:szCs w:val="28"/>
        </w:rPr>
        <w:t>，</w:t>
      </w:r>
      <w:r>
        <w:rPr>
          <w:sz w:val="28"/>
          <w:szCs w:val="28"/>
        </w:rPr>
        <w:t>毕业生适应能力</w:t>
      </w:r>
      <w:r>
        <w:rPr>
          <w:rFonts w:hint="eastAsia"/>
          <w:sz w:val="28"/>
          <w:szCs w:val="28"/>
        </w:rPr>
        <w:t>，</w:t>
      </w:r>
      <w:r>
        <w:rPr>
          <w:sz w:val="28"/>
          <w:szCs w:val="28"/>
        </w:rPr>
        <w:t>自主学习能力都为</w:t>
      </w:r>
      <w:r>
        <w:rPr>
          <w:rFonts w:hint="eastAsia"/>
          <w:sz w:val="28"/>
          <w:szCs w:val="28"/>
        </w:rPr>
        <w:t>93.6%。</w:t>
      </w:r>
    </w:p>
    <w:p>
      <w:pPr>
        <w:jc w:val="center"/>
      </w:pPr>
      <w:r>
        <w:drawing>
          <wp:inline distT="0" distB="0" distL="0" distR="0">
            <wp:extent cx="4572000" cy="2743200"/>
            <wp:effectExtent l="0" t="0" r="19050" b="1905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jc w:val="center"/>
        <w:rPr>
          <w:rFonts w:ascii="黑体" w:hAnsi="黑体" w:eastAsia="黑体" w:cs="黑体"/>
          <w:color w:val="000000"/>
        </w:rPr>
      </w:pPr>
      <w:r>
        <w:rPr>
          <w:rFonts w:hint="eastAsia" w:ascii="黑体" w:hAnsi="黑体" w:eastAsia="黑体" w:cs="黑体"/>
          <w:color w:val="000000"/>
        </w:rPr>
        <w:t>图</w:t>
      </w:r>
      <w:r>
        <w:rPr>
          <w:rFonts w:hint="eastAsia" w:ascii="黑体" w:hAnsi="黑体" w:eastAsia="黑体" w:cs="Times New Roman"/>
          <w:bCs/>
          <w:color w:val="000000"/>
        </w:rPr>
        <w:t>3</w:t>
      </w:r>
      <w:r>
        <w:rPr>
          <w:rFonts w:ascii="黑体" w:hAnsi="黑体" w:eastAsia="黑体" w:cs="Times New Roman"/>
          <w:bCs/>
          <w:color w:val="000000"/>
        </w:rPr>
        <w:t>-</w:t>
      </w:r>
      <w:r>
        <w:rPr>
          <w:rFonts w:hint="eastAsia" w:ascii="黑体" w:hAnsi="黑体" w:eastAsia="黑体" w:cs="Times New Roman"/>
          <w:bCs/>
          <w:color w:val="000000"/>
        </w:rPr>
        <w:t xml:space="preserve">10 </w:t>
      </w:r>
      <w:r>
        <w:rPr>
          <w:rFonts w:ascii="黑体" w:hAnsi="黑体" w:eastAsia="黑体" w:cs="Times New Roman"/>
          <w:bCs/>
          <w:color w:val="000000"/>
        </w:rPr>
        <w:t>201</w:t>
      </w:r>
      <w:r>
        <w:rPr>
          <w:rFonts w:hint="eastAsia" w:ascii="黑体" w:hAnsi="黑体" w:eastAsia="黑体" w:cs="Times New Roman"/>
          <w:bCs/>
          <w:color w:val="000000"/>
        </w:rPr>
        <w:t>8</w:t>
      </w:r>
      <w:r>
        <w:rPr>
          <w:rFonts w:hint="eastAsia" w:ascii="黑体" w:hAnsi="黑体" w:eastAsia="黑体" w:cs="黑体"/>
          <w:color w:val="000000"/>
        </w:rPr>
        <w:t>用人单位对毕业生就业能力的评价</w:t>
      </w:r>
    </w:p>
    <w:p>
      <w:pPr>
        <w:rPr>
          <w:sz w:val="20"/>
          <w:szCs w:val="20"/>
        </w:rPr>
      </w:pPr>
      <w:r>
        <w:rPr>
          <w:rFonts w:hint="eastAsia"/>
          <w:sz w:val="20"/>
          <w:szCs w:val="20"/>
        </w:rPr>
        <w:t>注：“用人</w:t>
      </w:r>
      <w:r>
        <w:rPr>
          <w:sz w:val="20"/>
          <w:szCs w:val="20"/>
        </w:rPr>
        <w:t>单位对毕业生的评价</w:t>
      </w:r>
      <w:r>
        <w:rPr>
          <w:rFonts w:hint="eastAsia"/>
          <w:sz w:val="20"/>
          <w:szCs w:val="20"/>
        </w:rPr>
        <w:t>”</w:t>
      </w:r>
      <w:r>
        <w:rPr>
          <w:sz w:val="20"/>
          <w:szCs w:val="20"/>
        </w:rPr>
        <w:t>及</w:t>
      </w:r>
      <w:r>
        <w:rPr>
          <w:rFonts w:hint="eastAsia"/>
          <w:sz w:val="20"/>
          <w:szCs w:val="20"/>
        </w:rPr>
        <w:t>“用人单位对学校就业服务工作的评价”，</w:t>
      </w:r>
      <w:r>
        <w:rPr>
          <w:sz w:val="20"/>
          <w:szCs w:val="20"/>
        </w:rPr>
        <w:t>是</w:t>
      </w:r>
      <w:r>
        <w:rPr>
          <w:rFonts w:hint="eastAsia"/>
          <w:sz w:val="20"/>
          <w:szCs w:val="20"/>
        </w:rPr>
        <w:t>通过“用人</w:t>
      </w:r>
      <w:r>
        <w:rPr>
          <w:sz w:val="20"/>
          <w:szCs w:val="20"/>
        </w:rPr>
        <w:t>单位调研</w:t>
      </w:r>
      <w:r>
        <w:rPr>
          <w:rFonts w:hint="eastAsia"/>
          <w:sz w:val="20"/>
          <w:szCs w:val="20"/>
        </w:rPr>
        <w:t>获取数</w:t>
      </w:r>
      <w:r>
        <w:rPr>
          <w:sz w:val="20"/>
          <w:szCs w:val="20"/>
        </w:rPr>
        <w:t>据</w:t>
      </w:r>
      <w:r>
        <w:rPr>
          <w:rFonts w:hint="eastAsia"/>
          <w:sz w:val="20"/>
          <w:szCs w:val="20"/>
        </w:rPr>
        <w:t>”</w:t>
      </w:r>
      <w:r>
        <w:rPr>
          <w:sz w:val="20"/>
          <w:szCs w:val="20"/>
        </w:rPr>
        <w:t>。</w:t>
      </w:r>
    </w:p>
    <w:p>
      <w:pPr>
        <w:spacing w:line="360" w:lineRule="auto"/>
        <w:rPr>
          <w:rFonts w:ascii="宋体" w:hAnsi="宋体" w:cs="宋体"/>
          <w:sz w:val="20"/>
          <w:szCs w:val="20"/>
        </w:rPr>
      </w:pPr>
      <w:r>
        <w:rPr>
          <w:rFonts w:hint="eastAsia" w:ascii="宋体" w:hAnsi="Times New Roman" w:eastAsia="宋体" w:cs="宋体"/>
          <w:color w:val="000000"/>
          <w:sz w:val="20"/>
          <w:szCs w:val="20"/>
        </w:rPr>
        <w:t>数据来源：第三方机构成都泽奥</w:t>
      </w:r>
      <w:r>
        <w:rPr>
          <w:rFonts w:ascii="宋体" w:hAnsi="Times New Roman" w:eastAsia="宋体" w:cs="宋体"/>
          <w:color w:val="000000"/>
          <w:sz w:val="20"/>
          <w:szCs w:val="20"/>
        </w:rPr>
        <w:t>-201</w:t>
      </w:r>
      <w:r>
        <w:rPr>
          <w:rFonts w:hint="eastAsia" w:ascii="宋体" w:hAnsi="Times New Roman" w:eastAsia="宋体" w:cs="宋体"/>
          <w:color w:val="000000"/>
          <w:sz w:val="20"/>
          <w:szCs w:val="20"/>
        </w:rPr>
        <w:t>8届毕业生就业与培养质量调查。</w:t>
      </w:r>
    </w:p>
    <w:p>
      <w:pPr>
        <w:pStyle w:val="2"/>
        <w:jc w:val="center"/>
        <w:rPr>
          <w:rFonts w:ascii="微软雅黑" w:hAnsi="微软雅黑" w:eastAsia="微软雅黑"/>
          <w:b/>
          <w:bCs/>
          <w:color w:val="FFFFFF" w:themeColor="background1"/>
          <w:sz w:val="32"/>
          <w:szCs w:val="32"/>
          <w14:textFill>
            <w14:solidFill>
              <w14:schemeClr w14:val="bg1"/>
            </w14:solidFill>
          </w14:textFill>
        </w:rPr>
      </w:pPr>
      <w:r>
        <w:fldChar w:fldCharType="begin"/>
      </w:r>
      <w:r>
        <w:instrText xml:space="preserve"> HYPERLINK \l "_Toc397169573" </w:instrText>
      </w:r>
      <w:r>
        <w:fldChar w:fldCharType="separate"/>
      </w:r>
      <w:bookmarkStart w:id="32" w:name="_Toc533510652"/>
      <w:r>
        <w:rPr>
          <w:rStyle w:val="27"/>
          <w:rFonts w:hint="eastAsia" w:ascii="微软雅黑" w:hAnsi="微软雅黑" w:eastAsia="微软雅黑"/>
          <w:b/>
          <w:color w:val="FFFFFF" w:themeColor="background1"/>
          <w:sz w:val="32"/>
          <w:szCs w:val="32"/>
          <w14:textFill>
            <w14:solidFill>
              <w14:schemeClr w14:val="bg1"/>
            </w14:solidFill>
          </w14:textFill>
        </w:rPr>
        <w:t>第四篇：就业发展趋势分析</w:t>
      </w:r>
      <w:bookmarkEnd w:id="32"/>
      <w:r>
        <w:rPr>
          <w:rStyle w:val="27"/>
          <w:rFonts w:hint="eastAsia" w:ascii="微软雅黑" w:hAnsi="微软雅黑" w:eastAsia="微软雅黑"/>
          <w:b/>
          <w:color w:val="FFFFFF" w:themeColor="background1"/>
          <w:sz w:val="32"/>
          <w:szCs w:val="32"/>
          <w14:textFill>
            <w14:solidFill>
              <w14:schemeClr w14:val="bg1"/>
            </w14:solidFill>
          </w14:textFill>
        </w:rPr>
        <w:fldChar w:fldCharType="end"/>
      </w:r>
    </w:p>
    <w:p>
      <w:pPr>
        <w:pStyle w:val="4"/>
      </w:pPr>
      <w:bookmarkStart w:id="33" w:name="_Toc533510653"/>
      <w:r>
        <w:rPr>
          <w:rFonts w:hint="eastAsia"/>
        </w:rPr>
        <w:t>一、就业率持续向好，毕业生充分就业</w:t>
      </w:r>
      <w:bookmarkEnd w:id="33"/>
    </w:p>
    <w:p>
      <w:pPr>
        <w:spacing w:line="360" w:lineRule="auto"/>
        <w:ind w:firstLine="560" w:firstLineChars="200"/>
        <w:rPr>
          <w:sz w:val="28"/>
          <w:szCs w:val="28"/>
        </w:rPr>
      </w:pPr>
      <w:r>
        <w:rPr>
          <w:rFonts w:hint="eastAsia"/>
          <w:sz w:val="28"/>
          <w:szCs w:val="28"/>
        </w:rPr>
        <w:t>学校历来重视毕业生的就业工作，将实现毕业生的充分就业和高质量就业作为工作重心。如下图所示，近三年毕业生的就业情况良好，就业率始终保持在</w:t>
      </w:r>
      <w:r>
        <w:rPr>
          <w:rFonts w:ascii="Times New Roman" w:hAnsi="Times New Roman" w:cs="Times New Roman"/>
          <w:sz w:val="28"/>
          <w:szCs w:val="28"/>
        </w:rPr>
        <w:t>96.00%</w:t>
      </w:r>
      <w:r>
        <w:rPr>
          <w:rFonts w:hint="eastAsia" w:hAnsi="Times New Roman"/>
          <w:sz w:val="28"/>
          <w:szCs w:val="28"/>
        </w:rPr>
        <w:t>以上。</w:t>
      </w:r>
      <w:r>
        <w:rPr>
          <w:sz w:val="28"/>
          <w:szCs w:val="28"/>
        </w:rPr>
        <w:t xml:space="preserve"> </w:t>
      </w:r>
    </w:p>
    <w:p>
      <w:r>
        <w:drawing>
          <wp:inline distT="0" distB="0" distL="0" distR="0">
            <wp:extent cx="5788025" cy="3760470"/>
            <wp:effectExtent l="0" t="0" r="22225" b="11430"/>
            <wp:docPr id="289" name="图表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widowControl w:val="0"/>
        <w:autoSpaceDE w:val="0"/>
        <w:autoSpaceDN w:val="0"/>
        <w:adjustRightInd w:val="0"/>
        <w:spacing w:line="360" w:lineRule="auto"/>
        <w:jc w:val="center"/>
        <w:rPr>
          <w:rFonts w:ascii="黑体" w:hAnsi="黑体" w:eastAsia="黑体" w:cs="黑体"/>
          <w:color w:val="000000"/>
        </w:rPr>
      </w:pPr>
      <w:r>
        <w:rPr>
          <w:rFonts w:hint="eastAsia" w:ascii="黑体" w:hAnsi="黑体" w:eastAsia="黑体" w:cs="黑体"/>
          <w:color w:val="000000"/>
        </w:rPr>
        <w:t>图</w:t>
      </w:r>
      <w:r>
        <w:rPr>
          <w:rFonts w:ascii="黑体" w:hAnsi="黑体" w:eastAsia="黑体" w:cs="Times New Roman"/>
          <w:bCs/>
          <w:color w:val="000000"/>
        </w:rPr>
        <w:t>4-1 201</w:t>
      </w:r>
      <w:r>
        <w:rPr>
          <w:rFonts w:hint="eastAsia" w:ascii="黑体" w:hAnsi="黑体" w:eastAsia="黑体" w:cs="Times New Roman"/>
          <w:bCs/>
          <w:color w:val="000000"/>
        </w:rPr>
        <w:t>6</w:t>
      </w:r>
      <w:r>
        <w:rPr>
          <w:rFonts w:ascii="黑体" w:hAnsi="黑体" w:eastAsia="黑体" w:cs="Times New Roman"/>
          <w:bCs/>
          <w:color w:val="000000"/>
        </w:rPr>
        <w:t>-201</w:t>
      </w:r>
      <w:r>
        <w:rPr>
          <w:rFonts w:hint="eastAsia" w:ascii="黑体" w:hAnsi="黑体" w:eastAsia="黑体" w:cs="Times New Roman"/>
          <w:bCs/>
          <w:color w:val="000000"/>
        </w:rPr>
        <w:t>8</w:t>
      </w:r>
      <w:r>
        <w:rPr>
          <w:rFonts w:hint="eastAsia" w:ascii="黑体" w:hAnsi="黑体" w:eastAsia="黑体" w:cs="黑体"/>
          <w:color w:val="000000"/>
        </w:rPr>
        <w:t>届毕业生规模及就业率分布（规模单位：人）</w:t>
      </w:r>
    </w:p>
    <w:p>
      <w:pPr>
        <w:spacing w:before="156" w:beforeLines="50" w:line="500" w:lineRule="exact"/>
        <w:rPr>
          <w:rFonts w:ascii="宋体" w:hAnsi="宋体" w:eastAsia="宋体"/>
          <w:sz w:val="20"/>
          <w:szCs w:val="20"/>
        </w:rPr>
      </w:pPr>
      <w:r>
        <w:rPr>
          <w:rFonts w:hint="eastAsia" w:ascii="宋体" w:hAnsi="宋体" w:eastAsia="宋体"/>
          <w:sz w:val="20"/>
          <w:szCs w:val="20"/>
        </w:rPr>
        <w:t>数据来源：重庆市大学中专毕业生就业办公信息系统</w:t>
      </w:r>
    </w:p>
    <w:p>
      <w:pPr>
        <w:pStyle w:val="4"/>
      </w:pPr>
      <w:bookmarkStart w:id="34" w:name="_Toc533510654"/>
      <w:r>
        <w:rPr>
          <w:rFonts w:hint="eastAsia"/>
        </w:rPr>
        <w:t>二、继续深造比例增加，单位就业依然是主流</w:t>
      </w:r>
      <w:bookmarkEnd w:id="34"/>
    </w:p>
    <w:p>
      <w:pPr>
        <w:spacing w:line="360" w:lineRule="auto"/>
        <w:ind w:firstLine="560" w:firstLineChars="200"/>
        <w:rPr>
          <w:rStyle w:val="27"/>
          <w:b/>
          <w:color w:val="00B050"/>
          <w:sz w:val="28"/>
          <w:szCs w:val="28"/>
        </w:rPr>
      </w:pPr>
      <w:r>
        <w:rPr>
          <w:rFonts w:hint="eastAsia"/>
          <w:sz w:val="28"/>
          <w:szCs w:val="28"/>
        </w:rPr>
        <w:t>单位就业为学校毕业生的主要去向选择，近三届毕业生单位就业占比均在</w:t>
      </w:r>
      <w:r>
        <w:rPr>
          <w:rFonts w:hint="eastAsia" w:ascii="Times New Roman" w:hAnsi="Times New Roman" w:cs="Times New Roman"/>
          <w:sz w:val="28"/>
          <w:szCs w:val="28"/>
        </w:rPr>
        <w:t>87</w:t>
      </w:r>
      <w:r>
        <w:rPr>
          <w:rFonts w:ascii="Times New Roman" w:hAnsi="Times New Roman" w:cs="Times New Roman"/>
          <w:sz w:val="28"/>
          <w:szCs w:val="28"/>
        </w:rPr>
        <w:t>.00%</w:t>
      </w:r>
      <w:r>
        <w:rPr>
          <w:rFonts w:hint="eastAsia" w:hAnsi="Times New Roman"/>
          <w:sz w:val="28"/>
          <w:szCs w:val="28"/>
        </w:rPr>
        <w:t>以上，其中</w:t>
      </w:r>
      <w:r>
        <w:rPr>
          <w:rFonts w:ascii="Times New Roman" w:hAnsi="Times New Roman" w:cs="Times New Roman"/>
          <w:sz w:val="28"/>
          <w:szCs w:val="28"/>
        </w:rPr>
        <w:t>201</w:t>
      </w:r>
      <w:r>
        <w:rPr>
          <w:rFonts w:hint="eastAsia" w:ascii="Times New Roman" w:hAnsi="Times New Roman" w:cs="Times New Roman"/>
          <w:sz w:val="28"/>
          <w:szCs w:val="28"/>
        </w:rPr>
        <w:t>8</w:t>
      </w:r>
      <w:r>
        <w:rPr>
          <w:rFonts w:hint="eastAsia" w:hAnsi="Times New Roman"/>
          <w:sz w:val="28"/>
          <w:szCs w:val="28"/>
        </w:rPr>
        <w:t>届毕业生单位就业人数占比为</w:t>
      </w:r>
      <w:r>
        <w:rPr>
          <w:rFonts w:hint="eastAsia" w:ascii="Times New Roman" w:hAnsi="Times New Roman" w:cs="Times New Roman"/>
          <w:sz w:val="28"/>
          <w:szCs w:val="28"/>
        </w:rPr>
        <w:t>87.91</w:t>
      </w:r>
      <w:r>
        <w:rPr>
          <w:rFonts w:ascii="Times New Roman" w:hAnsi="Times New Roman" w:cs="Times New Roman"/>
          <w:sz w:val="28"/>
          <w:szCs w:val="28"/>
        </w:rPr>
        <w:t>%</w:t>
      </w:r>
      <w:r>
        <w:rPr>
          <w:rFonts w:hint="eastAsia" w:hAnsi="Times New Roman"/>
          <w:sz w:val="28"/>
          <w:szCs w:val="28"/>
        </w:rPr>
        <w:t>。另外继续深造比例逐年上升，可见毕业生继续深造意愿增强，想通过提高自身的知识水平和综合能力来增加未来在就业市场中的择业资本和竞争力。</w:t>
      </w:r>
    </w:p>
    <w:p>
      <w:pPr>
        <w:rPr>
          <w:rStyle w:val="27"/>
          <w:b/>
        </w:rPr>
      </w:pPr>
      <w:r>
        <w:drawing>
          <wp:inline distT="0" distB="0" distL="0" distR="0">
            <wp:extent cx="5780405" cy="3593465"/>
            <wp:effectExtent l="0" t="0" r="0" b="6985"/>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widowControl w:val="0"/>
        <w:autoSpaceDE w:val="0"/>
        <w:autoSpaceDN w:val="0"/>
        <w:adjustRightInd w:val="0"/>
        <w:jc w:val="center"/>
        <w:rPr>
          <w:rFonts w:ascii="黑体" w:hAnsi="黑体" w:eastAsia="黑体" w:cs="黑体"/>
          <w:color w:val="000000"/>
        </w:rPr>
      </w:pPr>
      <w:r>
        <w:rPr>
          <w:rFonts w:hint="eastAsia" w:ascii="黑体" w:hAnsi="黑体" w:eastAsia="黑体" w:cs="黑体"/>
          <w:color w:val="000000"/>
        </w:rPr>
        <w:t>图</w:t>
      </w:r>
      <w:r>
        <w:rPr>
          <w:rFonts w:ascii="黑体" w:hAnsi="黑体" w:eastAsia="黑体" w:cs="Times New Roman"/>
          <w:bCs/>
          <w:color w:val="000000"/>
        </w:rPr>
        <w:t xml:space="preserve">4-2 </w:t>
      </w:r>
      <w:r>
        <w:rPr>
          <w:rFonts w:ascii="黑体" w:hAnsi="黑体" w:eastAsia="黑体" w:cs="黑体"/>
          <w:color w:val="000000"/>
        </w:rPr>
        <w:t>201</w:t>
      </w:r>
      <w:r>
        <w:rPr>
          <w:rFonts w:hint="eastAsia" w:ascii="黑体" w:hAnsi="黑体" w:eastAsia="黑体" w:cs="黑体"/>
          <w:color w:val="000000"/>
        </w:rPr>
        <w:t>6</w:t>
      </w:r>
      <w:r>
        <w:rPr>
          <w:rFonts w:ascii="黑体" w:hAnsi="黑体" w:eastAsia="黑体" w:cs="黑体"/>
          <w:color w:val="000000"/>
        </w:rPr>
        <w:t>-201</w:t>
      </w:r>
      <w:r>
        <w:rPr>
          <w:rFonts w:hint="eastAsia" w:ascii="黑体" w:hAnsi="黑体" w:eastAsia="黑体" w:cs="黑体"/>
          <w:color w:val="000000"/>
        </w:rPr>
        <w:t>8届毕业生毕业去向分布</w:t>
      </w:r>
    </w:p>
    <w:p>
      <w:pPr>
        <w:widowControl w:val="0"/>
        <w:autoSpaceDE w:val="0"/>
        <w:autoSpaceDN w:val="0"/>
        <w:adjustRightInd w:val="0"/>
        <w:rPr>
          <w:rFonts w:ascii="宋体" w:hAnsi="黑体" w:eastAsia="宋体" w:cs="宋体"/>
          <w:color w:val="000000"/>
          <w:sz w:val="20"/>
          <w:szCs w:val="20"/>
        </w:rPr>
      </w:pPr>
      <w:r>
        <w:rPr>
          <w:rFonts w:hint="eastAsia" w:ascii="宋体" w:hAnsi="黑体" w:eastAsia="宋体" w:cs="宋体"/>
          <w:color w:val="000000"/>
          <w:sz w:val="20"/>
          <w:szCs w:val="20"/>
        </w:rPr>
        <w:t>注：单位就业包括签就业协议形式就业、签劳动合同形式就业、其他录用形式就业和应征义务兵；继续深造包括升学和出国、出境。</w:t>
      </w:r>
      <w:r>
        <w:rPr>
          <w:rFonts w:ascii="宋体" w:hAnsi="黑体" w:eastAsia="宋体" w:cs="宋体"/>
          <w:color w:val="000000"/>
          <w:sz w:val="20"/>
          <w:szCs w:val="20"/>
        </w:rPr>
        <w:t xml:space="preserve"> </w:t>
      </w:r>
    </w:p>
    <w:p>
      <w:pPr>
        <w:spacing w:before="156" w:beforeLines="50" w:line="500" w:lineRule="exact"/>
        <w:rPr>
          <w:rFonts w:ascii="宋体" w:hAnsi="宋体" w:eastAsia="宋体"/>
          <w:sz w:val="20"/>
          <w:szCs w:val="20"/>
        </w:rPr>
      </w:pPr>
      <w:bookmarkStart w:id="35" w:name="_Toc533510655"/>
      <w:r>
        <w:rPr>
          <w:rFonts w:hint="eastAsia" w:ascii="宋体" w:hAnsi="宋体" w:eastAsia="宋体"/>
          <w:sz w:val="20"/>
          <w:szCs w:val="20"/>
        </w:rPr>
        <w:t>数据来源：重庆市大学中专毕业生就业办公信息系统</w:t>
      </w:r>
    </w:p>
    <w:p>
      <w:pPr>
        <w:pStyle w:val="4"/>
      </w:pPr>
      <w:r>
        <w:rPr>
          <w:rFonts w:hint="eastAsia"/>
        </w:rPr>
        <w:t>三、市内就业比例呈上升趋势，为区域发展培养高素质人才</w:t>
      </w:r>
      <w:bookmarkEnd w:id="35"/>
    </w:p>
    <w:p>
      <w:pPr>
        <w:spacing w:line="360" w:lineRule="auto"/>
        <w:ind w:firstLine="560" w:firstLineChars="200"/>
        <w:rPr>
          <w:rStyle w:val="27"/>
          <w:b/>
          <w:color w:val="00B050"/>
          <w:sz w:val="28"/>
          <w:szCs w:val="28"/>
        </w:rPr>
      </w:pPr>
      <w:r>
        <w:rPr>
          <w:rFonts w:hint="eastAsia"/>
          <w:sz w:val="28"/>
          <w:szCs w:val="28"/>
        </w:rPr>
        <w:t>如下图所示：学校近三年毕业生重庆内就业比例均偏高，重庆市就业比例均处于</w:t>
      </w:r>
      <w:r>
        <w:rPr>
          <w:rFonts w:ascii="Times New Roman" w:hAnsi="Times New Roman" w:cs="Times New Roman"/>
          <w:sz w:val="28"/>
          <w:szCs w:val="28"/>
        </w:rPr>
        <w:t>8</w:t>
      </w:r>
      <w:r>
        <w:rPr>
          <w:rFonts w:hint="eastAsia" w:ascii="Times New Roman" w:hAnsi="Times New Roman" w:cs="Times New Roman"/>
          <w:sz w:val="28"/>
          <w:szCs w:val="28"/>
        </w:rPr>
        <w:t>3</w:t>
      </w:r>
      <w:r>
        <w:rPr>
          <w:rFonts w:ascii="Times New Roman" w:hAnsi="Times New Roman" w:cs="Times New Roman"/>
          <w:sz w:val="28"/>
          <w:szCs w:val="28"/>
        </w:rPr>
        <w:t>.00%</w:t>
      </w:r>
      <w:r>
        <w:rPr>
          <w:rFonts w:hint="eastAsia" w:hAnsi="Times New Roman"/>
          <w:sz w:val="28"/>
          <w:szCs w:val="28"/>
        </w:rPr>
        <w:t>以上，且呈现逐年上升趋势，其中</w:t>
      </w:r>
      <w:r>
        <w:rPr>
          <w:rFonts w:ascii="Times New Roman" w:hAnsi="Times New Roman" w:cs="Times New Roman"/>
          <w:sz w:val="28"/>
          <w:szCs w:val="28"/>
        </w:rPr>
        <w:t>20</w:t>
      </w:r>
      <w:r>
        <w:rPr>
          <w:rFonts w:hint="eastAsia" w:ascii="Times New Roman" w:hAnsi="Times New Roman" w:cs="Times New Roman"/>
          <w:sz w:val="28"/>
          <w:szCs w:val="28"/>
        </w:rPr>
        <w:t>18</w:t>
      </w:r>
      <w:r>
        <w:rPr>
          <w:rFonts w:hint="eastAsia" w:hAnsi="Times New Roman"/>
          <w:sz w:val="28"/>
          <w:szCs w:val="28"/>
        </w:rPr>
        <w:t>届毕业生在重庆市就业比例为</w:t>
      </w:r>
      <w:r>
        <w:rPr>
          <w:rFonts w:ascii="Times New Roman" w:hAnsi="Times New Roman" w:cs="Times New Roman"/>
          <w:sz w:val="28"/>
          <w:szCs w:val="28"/>
        </w:rPr>
        <w:t>85.</w:t>
      </w:r>
      <w:r>
        <w:rPr>
          <w:rFonts w:hint="eastAsia" w:ascii="Times New Roman" w:hAnsi="Times New Roman" w:cs="Times New Roman"/>
          <w:sz w:val="28"/>
          <w:szCs w:val="28"/>
        </w:rPr>
        <w:t>55</w:t>
      </w:r>
      <w:r>
        <w:rPr>
          <w:rFonts w:ascii="Times New Roman" w:hAnsi="Times New Roman" w:cs="Times New Roman"/>
          <w:sz w:val="28"/>
          <w:szCs w:val="28"/>
        </w:rPr>
        <w:t>%</w:t>
      </w:r>
      <w:r>
        <w:rPr>
          <w:rFonts w:hint="eastAsia" w:hAnsi="Times New Roman"/>
          <w:sz w:val="28"/>
          <w:szCs w:val="28"/>
        </w:rPr>
        <w:t>，比</w:t>
      </w:r>
      <w:r>
        <w:rPr>
          <w:rFonts w:ascii="Times New Roman" w:hAnsi="Times New Roman" w:cs="Times New Roman"/>
          <w:sz w:val="28"/>
          <w:szCs w:val="28"/>
        </w:rPr>
        <w:t>201</w:t>
      </w:r>
      <w:r>
        <w:rPr>
          <w:rFonts w:hint="eastAsia" w:ascii="Times New Roman" w:hAnsi="Times New Roman" w:cs="Times New Roman"/>
          <w:sz w:val="28"/>
          <w:szCs w:val="28"/>
        </w:rPr>
        <w:t>7</w:t>
      </w:r>
      <w:r>
        <w:rPr>
          <w:rFonts w:hint="eastAsia" w:hAnsi="Times New Roman"/>
          <w:sz w:val="28"/>
          <w:szCs w:val="28"/>
        </w:rPr>
        <w:t>届高</w:t>
      </w:r>
      <w:r>
        <w:rPr>
          <w:rFonts w:hint="eastAsia" w:ascii="Times New Roman" w:hAnsi="Times New Roman" w:cs="Times New Roman"/>
          <w:sz w:val="28"/>
          <w:szCs w:val="28"/>
        </w:rPr>
        <w:t>0.31</w:t>
      </w:r>
      <w:r>
        <w:rPr>
          <w:rFonts w:hint="eastAsia" w:hAnsi="Times New Roman"/>
          <w:sz w:val="28"/>
          <w:szCs w:val="28"/>
        </w:rPr>
        <w:t>个百分点。这充分体现了学校紧贴重庆和西部地区基层医疗卫生事业、药品生产经营行业、健康相关产业发展需要，培养具有良好医药人文素养的高素质技术技能型专门人才的目标，为当地经济发展和卫生事业发展提供了人力支持和智力支撑。</w:t>
      </w:r>
    </w:p>
    <w:p>
      <w:pPr>
        <w:jc w:val="center"/>
        <w:rPr>
          <w:rStyle w:val="27"/>
          <w:b/>
        </w:rPr>
      </w:pPr>
      <w:r>
        <w:drawing>
          <wp:inline distT="0" distB="0" distL="0" distR="0">
            <wp:extent cx="5724525" cy="3387090"/>
            <wp:effectExtent l="0" t="0" r="9525" b="2286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widowControl w:val="0"/>
        <w:autoSpaceDE w:val="0"/>
        <w:autoSpaceDN w:val="0"/>
        <w:adjustRightInd w:val="0"/>
        <w:jc w:val="center"/>
        <w:rPr>
          <w:rFonts w:ascii="黑体" w:hAnsi="黑体" w:eastAsia="黑体" w:cs="黑体"/>
          <w:color w:val="000000"/>
        </w:rPr>
      </w:pPr>
      <w:r>
        <w:rPr>
          <w:rFonts w:hint="eastAsia" w:ascii="黑体" w:hAnsi="黑体" w:eastAsia="黑体" w:cs="黑体"/>
          <w:color w:val="000000"/>
        </w:rPr>
        <w:t>图</w:t>
      </w:r>
      <w:r>
        <w:rPr>
          <w:rFonts w:ascii="黑体" w:hAnsi="黑体" w:eastAsia="黑体" w:cs="Times New Roman"/>
          <w:bCs/>
          <w:color w:val="000000"/>
        </w:rPr>
        <w:t>4</w:t>
      </w:r>
      <w:r>
        <w:rPr>
          <w:rFonts w:ascii="黑体" w:hAnsi="黑体" w:eastAsia="黑体" w:cs="Times New Roman"/>
          <w:b/>
          <w:bCs/>
          <w:color w:val="000000"/>
        </w:rPr>
        <w:t>-3 201</w:t>
      </w:r>
      <w:r>
        <w:rPr>
          <w:rFonts w:hint="eastAsia" w:ascii="黑体" w:hAnsi="黑体" w:eastAsia="黑体" w:cs="Times New Roman"/>
          <w:b/>
          <w:bCs/>
          <w:color w:val="000000"/>
        </w:rPr>
        <w:t>6</w:t>
      </w:r>
      <w:r>
        <w:rPr>
          <w:rFonts w:ascii="黑体" w:hAnsi="黑体" w:eastAsia="黑体" w:cs="Times New Roman"/>
          <w:b/>
          <w:bCs/>
          <w:color w:val="000000"/>
        </w:rPr>
        <w:t>-201</w:t>
      </w:r>
      <w:r>
        <w:rPr>
          <w:rFonts w:hint="eastAsia" w:ascii="黑体" w:hAnsi="黑体" w:eastAsia="黑体" w:cs="Times New Roman"/>
          <w:b/>
          <w:bCs/>
          <w:color w:val="000000"/>
        </w:rPr>
        <w:t>8</w:t>
      </w:r>
      <w:r>
        <w:rPr>
          <w:rFonts w:hint="eastAsia" w:ascii="黑体" w:hAnsi="黑体" w:eastAsia="黑体" w:cs="黑体"/>
          <w:color w:val="000000"/>
        </w:rPr>
        <w:t>届毕业生市内就业对比分析</w:t>
      </w:r>
    </w:p>
    <w:p>
      <w:pPr>
        <w:spacing w:before="156" w:beforeLines="50" w:line="500" w:lineRule="exact"/>
        <w:rPr>
          <w:rFonts w:ascii="宋体" w:hAnsi="宋体" w:eastAsia="宋体"/>
          <w:sz w:val="20"/>
          <w:szCs w:val="20"/>
        </w:rPr>
      </w:pPr>
      <w:r>
        <w:rPr>
          <w:rFonts w:hint="eastAsia" w:ascii="宋体" w:hAnsi="宋体" w:eastAsia="宋体"/>
          <w:sz w:val="20"/>
          <w:szCs w:val="20"/>
        </w:rPr>
        <w:t>数据来源：重庆市大学中专毕业生就业办公信息系统</w:t>
      </w:r>
    </w:p>
    <w:p>
      <w:pPr>
        <w:pStyle w:val="4"/>
      </w:pPr>
      <w:bookmarkStart w:id="36" w:name="_Toc533510656"/>
      <w:r>
        <w:rPr>
          <w:rFonts w:hint="eastAsia"/>
        </w:rPr>
        <w:t>四、就业行业体现学校专业特色及培养定位</w:t>
      </w:r>
      <w:bookmarkEnd w:id="36"/>
    </w:p>
    <w:p>
      <w:pPr>
        <w:spacing w:line="360" w:lineRule="auto"/>
        <w:ind w:firstLine="560" w:firstLineChars="200"/>
        <w:rPr>
          <w:rStyle w:val="27"/>
          <w:b/>
          <w:sz w:val="28"/>
          <w:szCs w:val="28"/>
        </w:rPr>
      </w:pPr>
      <w:r>
        <w:rPr>
          <w:rFonts w:hint="eastAsia" w:ascii="宋体" w:eastAsia="宋体" w:cs="宋体"/>
          <w:color w:val="000000"/>
          <w:sz w:val="28"/>
          <w:szCs w:val="28"/>
        </w:rPr>
        <w:t>卫生和社会工作、批发和零售业、居民服务、修理和其他服务业为毕业生三大行业流向；其中卫生和社会工作为近三届毕业生首要选择，占比均处于</w:t>
      </w:r>
      <w:r>
        <w:rPr>
          <w:rFonts w:ascii="Times New Roman" w:hAnsi="Times New Roman" w:eastAsia="宋体" w:cs="Times New Roman"/>
          <w:color w:val="000000"/>
          <w:sz w:val="28"/>
          <w:szCs w:val="28"/>
        </w:rPr>
        <w:t>5</w:t>
      </w:r>
      <w:r>
        <w:rPr>
          <w:rFonts w:hint="eastAsia" w:ascii="Times New Roman" w:hAnsi="Times New Roman" w:eastAsia="宋体" w:cs="Times New Roman"/>
          <w:color w:val="000000"/>
          <w:sz w:val="28"/>
          <w:szCs w:val="28"/>
        </w:rPr>
        <w:t>1</w:t>
      </w:r>
      <w:r>
        <w:rPr>
          <w:rFonts w:ascii="Times New Roman" w:hAnsi="Times New Roman" w:eastAsia="宋体" w:cs="Times New Roman"/>
          <w:color w:val="000000"/>
          <w:sz w:val="28"/>
          <w:szCs w:val="28"/>
        </w:rPr>
        <w:t>.00%</w:t>
      </w:r>
      <w:r>
        <w:rPr>
          <w:rFonts w:hint="eastAsia" w:ascii="宋体" w:hAnsi="Times New Roman" w:eastAsia="宋体" w:cs="宋体"/>
          <w:color w:val="000000"/>
          <w:sz w:val="28"/>
          <w:szCs w:val="28"/>
        </w:rPr>
        <w:t>以上，这一行业结构与学校专业特色及培养定位相符合。另外，批发零售业就业的毕业生人数也呈增长趋势，</w:t>
      </w:r>
      <w:r>
        <w:rPr>
          <w:rFonts w:ascii="Times New Roman" w:hAnsi="Times New Roman" w:eastAsia="宋体" w:cs="Times New Roman"/>
          <w:color w:val="000000"/>
          <w:sz w:val="28"/>
          <w:szCs w:val="28"/>
        </w:rPr>
        <w:t>201</w:t>
      </w:r>
      <w:r>
        <w:rPr>
          <w:rFonts w:hint="eastAsia" w:ascii="Times New Roman" w:hAnsi="Times New Roman" w:eastAsia="宋体" w:cs="Times New Roman"/>
          <w:color w:val="000000"/>
          <w:sz w:val="28"/>
          <w:szCs w:val="28"/>
        </w:rPr>
        <w:t>8</w:t>
      </w:r>
      <w:r>
        <w:rPr>
          <w:rFonts w:hint="eastAsia" w:ascii="宋体" w:hAnsi="Times New Roman" w:eastAsia="宋体" w:cs="宋体"/>
          <w:color w:val="000000"/>
          <w:sz w:val="28"/>
          <w:szCs w:val="28"/>
        </w:rPr>
        <w:t>届占比达</w:t>
      </w:r>
      <w:r>
        <w:rPr>
          <w:rFonts w:hint="eastAsia" w:ascii="Times New Roman" w:hAnsi="Times New Roman" w:eastAsia="宋体" w:cs="Times New Roman"/>
          <w:color w:val="000000"/>
          <w:sz w:val="28"/>
          <w:szCs w:val="28"/>
        </w:rPr>
        <w:t>40.59</w:t>
      </w:r>
      <w:r>
        <w:rPr>
          <w:rFonts w:ascii="Times New Roman" w:hAnsi="Times New Roman" w:eastAsia="宋体" w:cs="Times New Roman"/>
          <w:color w:val="000000"/>
          <w:sz w:val="28"/>
          <w:szCs w:val="28"/>
        </w:rPr>
        <w:t>%</w:t>
      </w:r>
      <w:r>
        <w:rPr>
          <w:rFonts w:hint="eastAsia" w:ascii="宋体" w:hAnsi="Times New Roman" w:eastAsia="宋体" w:cs="宋体"/>
          <w:color w:val="000000"/>
          <w:sz w:val="28"/>
          <w:szCs w:val="28"/>
        </w:rPr>
        <w:t>。</w:t>
      </w:r>
    </w:p>
    <w:p>
      <w:pPr>
        <w:rPr>
          <w:rStyle w:val="27"/>
          <w:b/>
          <w:sz w:val="24"/>
          <w:szCs w:val="24"/>
        </w:rPr>
      </w:pPr>
    </w:p>
    <w:p>
      <w:pPr>
        <w:jc w:val="center"/>
      </w:pPr>
      <w:r>
        <w:drawing>
          <wp:inline distT="0" distB="0" distL="0" distR="0">
            <wp:extent cx="5232400" cy="3041650"/>
            <wp:effectExtent l="0" t="0" r="25400" b="2540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widowControl w:val="0"/>
        <w:autoSpaceDE w:val="0"/>
        <w:autoSpaceDN w:val="0"/>
        <w:adjustRightInd w:val="0"/>
        <w:jc w:val="center"/>
        <w:rPr>
          <w:rFonts w:ascii="黑体" w:hAnsi="黑体" w:eastAsia="黑体" w:cs="黑体"/>
        </w:rPr>
      </w:pPr>
      <w:r>
        <w:rPr>
          <w:rFonts w:hint="eastAsia" w:ascii="黑体" w:hAnsi="黑体" w:eastAsia="黑体" w:cs="黑体"/>
        </w:rPr>
        <w:t>图</w:t>
      </w:r>
      <w:r>
        <w:rPr>
          <w:rFonts w:ascii="黑体" w:hAnsi="黑体" w:eastAsia="黑体" w:cs="Times New Roman"/>
          <w:bCs/>
        </w:rPr>
        <w:t>4-</w:t>
      </w:r>
      <w:r>
        <w:rPr>
          <w:rFonts w:hint="eastAsia" w:ascii="黑体" w:hAnsi="黑体" w:eastAsia="黑体" w:cs="Times New Roman"/>
          <w:bCs/>
        </w:rPr>
        <w:t>4</w:t>
      </w:r>
      <w:r>
        <w:rPr>
          <w:rFonts w:ascii="黑体" w:hAnsi="黑体" w:eastAsia="黑体" w:cs="Times New Roman"/>
          <w:bCs/>
        </w:rPr>
        <w:t xml:space="preserve"> 201</w:t>
      </w:r>
      <w:r>
        <w:rPr>
          <w:rFonts w:hint="eastAsia" w:ascii="黑体" w:hAnsi="黑体" w:eastAsia="黑体" w:cs="Times New Roman"/>
          <w:bCs/>
        </w:rPr>
        <w:t>6</w:t>
      </w:r>
      <w:r>
        <w:rPr>
          <w:rFonts w:ascii="黑体" w:hAnsi="黑体" w:eastAsia="黑体" w:cs="Times New Roman"/>
          <w:bCs/>
        </w:rPr>
        <w:t>-201</w:t>
      </w:r>
      <w:r>
        <w:rPr>
          <w:rFonts w:hint="eastAsia" w:ascii="黑体" w:hAnsi="黑体" w:eastAsia="黑体" w:cs="Times New Roman"/>
          <w:bCs/>
        </w:rPr>
        <w:t>8</w:t>
      </w:r>
      <w:r>
        <w:rPr>
          <w:rFonts w:hint="eastAsia" w:ascii="黑体" w:hAnsi="黑体" w:eastAsia="黑体" w:cs="黑体"/>
        </w:rPr>
        <w:t>届毕业生主要就业行业对比分析</w:t>
      </w:r>
    </w:p>
    <w:p>
      <w:pPr>
        <w:widowControl w:val="0"/>
        <w:autoSpaceDE w:val="0"/>
        <w:autoSpaceDN w:val="0"/>
        <w:adjustRightInd w:val="0"/>
        <w:rPr>
          <w:rFonts w:ascii="宋体" w:hAnsi="Times New Roman" w:eastAsia="宋体" w:cs="宋体"/>
          <w:sz w:val="20"/>
          <w:szCs w:val="20"/>
        </w:rPr>
      </w:pPr>
      <w:r>
        <w:rPr>
          <w:rFonts w:hint="eastAsia" w:ascii="宋体" w:hAnsi="Times New Roman" w:eastAsia="宋体" w:cs="宋体"/>
          <w:sz w:val="20"/>
          <w:szCs w:val="20"/>
        </w:rPr>
        <w:t>注：图中为毕业生就业比例前三的行业类型。</w:t>
      </w:r>
      <w:r>
        <w:rPr>
          <w:rFonts w:ascii="宋体" w:hAnsi="Times New Roman" w:eastAsia="宋体" w:cs="宋体"/>
          <w:sz w:val="20"/>
          <w:szCs w:val="20"/>
        </w:rPr>
        <w:t xml:space="preserve"> </w:t>
      </w:r>
    </w:p>
    <w:p>
      <w:pPr>
        <w:spacing w:before="156" w:beforeLines="50" w:line="500" w:lineRule="exact"/>
        <w:rPr>
          <w:rFonts w:ascii="宋体" w:hAnsi="宋体" w:eastAsia="宋体"/>
          <w:sz w:val="20"/>
          <w:szCs w:val="20"/>
        </w:rPr>
      </w:pPr>
      <w:bookmarkStart w:id="37" w:name="_Toc533510657"/>
      <w:r>
        <w:rPr>
          <w:rFonts w:hint="eastAsia" w:ascii="宋体" w:hAnsi="宋体" w:eastAsia="宋体"/>
          <w:sz w:val="20"/>
          <w:szCs w:val="20"/>
        </w:rPr>
        <w:t>数据来源：重庆市大学中专毕业生就业办公信息系统</w:t>
      </w:r>
    </w:p>
    <w:p>
      <w:pPr>
        <w:pStyle w:val="4"/>
      </w:pPr>
      <w:r>
        <w:rPr>
          <w:rFonts w:hint="eastAsia"/>
        </w:rPr>
        <w:t>五、紧随国家对企业扶持政策，拓宽就业渠道</w:t>
      </w:r>
      <w:bookmarkEnd w:id="37"/>
      <w:r>
        <w:t xml:space="preserve"> </w:t>
      </w:r>
    </w:p>
    <w:p>
      <w:pPr>
        <w:spacing w:line="360" w:lineRule="auto"/>
        <w:ind w:firstLine="560" w:firstLineChars="200"/>
        <w:rPr>
          <w:rStyle w:val="27"/>
          <w:b/>
          <w:sz w:val="28"/>
          <w:szCs w:val="28"/>
        </w:rPr>
      </w:pPr>
      <w:r>
        <w:rPr>
          <w:rFonts w:hint="eastAsia"/>
          <w:sz w:val="28"/>
          <w:szCs w:val="28"/>
        </w:rPr>
        <w:t>其他企业（民营企业为主）和医疗卫生单位为近三届毕业生的就业主战场。其中其他企业占比均在</w:t>
      </w:r>
      <w:r>
        <w:rPr>
          <w:rFonts w:hint="eastAsia" w:ascii="Times New Roman" w:cs="Times New Roman"/>
          <w:sz w:val="28"/>
          <w:szCs w:val="28"/>
        </w:rPr>
        <w:t>53</w:t>
      </w:r>
      <w:r>
        <w:rPr>
          <w:rFonts w:ascii="Times New Roman" w:cs="Times New Roman"/>
          <w:sz w:val="28"/>
          <w:szCs w:val="28"/>
        </w:rPr>
        <w:t>.00%</w:t>
      </w:r>
      <w:r>
        <w:rPr>
          <w:rFonts w:hint="eastAsia"/>
          <w:sz w:val="28"/>
          <w:szCs w:val="28"/>
        </w:rPr>
        <w:t>以上，医疗卫生单位占比均在</w:t>
      </w:r>
      <w:r>
        <w:rPr>
          <w:rFonts w:ascii="Times New Roman" w:cs="Times New Roman"/>
          <w:sz w:val="28"/>
          <w:szCs w:val="28"/>
        </w:rPr>
        <w:t>3</w:t>
      </w:r>
      <w:r>
        <w:rPr>
          <w:rFonts w:hint="eastAsia" w:ascii="Times New Roman" w:cs="Times New Roman"/>
          <w:sz w:val="28"/>
          <w:szCs w:val="28"/>
        </w:rPr>
        <w:t>0</w:t>
      </w:r>
      <w:r>
        <w:rPr>
          <w:rFonts w:ascii="Times New Roman" w:cs="Times New Roman"/>
          <w:sz w:val="28"/>
          <w:szCs w:val="28"/>
        </w:rPr>
        <w:t>.00%</w:t>
      </w:r>
      <w:r>
        <w:rPr>
          <w:rFonts w:hint="eastAsia"/>
          <w:sz w:val="28"/>
          <w:szCs w:val="28"/>
        </w:rPr>
        <w:t>以上。一方面，这与我国近年来扶持民营企业发展的政策环境及中小微企业的快速发展密切相关；另一方面也得益于学校坚持</w:t>
      </w:r>
      <w:r>
        <w:rPr>
          <w:sz w:val="28"/>
          <w:szCs w:val="28"/>
        </w:rPr>
        <w:t>“</w:t>
      </w:r>
      <w:r>
        <w:rPr>
          <w:rFonts w:hint="eastAsia"/>
          <w:sz w:val="28"/>
          <w:szCs w:val="28"/>
        </w:rPr>
        <w:t>校企院合作、集团化办学</w:t>
      </w:r>
      <w:r>
        <w:rPr>
          <w:sz w:val="28"/>
          <w:szCs w:val="28"/>
        </w:rPr>
        <w:t>”</w:t>
      </w:r>
      <w:r>
        <w:rPr>
          <w:rFonts w:hint="eastAsia"/>
          <w:sz w:val="28"/>
          <w:szCs w:val="28"/>
        </w:rPr>
        <w:t>的模式，不断深化校企融合，构建合作新模式，为毕业生拓宽了就业渠道、提供了就业机会。</w:t>
      </w:r>
    </w:p>
    <w:p>
      <w:pPr>
        <w:jc w:val="center"/>
        <w:rPr>
          <w:rStyle w:val="27"/>
          <w:b/>
        </w:rPr>
      </w:pPr>
      <w:r>
        <w:drawing>
          <wp:inline distT="0" distB="0" distL="0" distR="0">
            <wp:extent cx="4879975" cy="3670300"/>
            <wp:effectExtent l="0" t="0" r="15875" b="2540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widowControl w:val="0"/>
        <w:autoSpaceDE w:val="0"/>
        <w:autoSpaceDN w:val="0"/>
        <w:adjustRightInd w:val="0"/>
        <w:jc w:val="center"/>
        <w:rPr>
          <w:rFonts w:ascii="黑体" w:hAnsi="黑体" w:eastAsia="黑体" w:cs="黑体"/>
          <w:color w:val="000000"/>
        </w:rPr>
      </w:pPr>
      <w:r>
        <w:rPr>
          <w:rFonts w:hint="eastAsia" w:ascii="黑体" w:hAnsi="黑体" w:eastAsia="黑体" w:cs="黑体"/>
          <w:color w:val="000000"/>
        </w:rPr>
        <w:t>图</w:t>
      </w:r>
      <w:r>
        <w:rPr>
          <w:rFonts w:ascii="黑体" w:hAnsi="黑体" w:eastAsia="黑体" w:cs="Times New Roman"/>
          <w:bCs/>
          <w:color w:val="000000"/>
        </w:rPr>
        <w:t>4-</w:t>
      </w:r>
      <w:r>
        <w:rPr>
          <w:rFonts w:hint="eastAsia" w:ascii="黑体" w:hAnsi="黑体" w:eastAsia="黑体" w:cs="Times New Roman"/>
          <w:bCs/>
          <w:color w:val="000000"/>
        </w:rPr>
        <w:t>5</w:t>
      </w:r>
      <w:r>
        <w:rPr>
          <w:rFonts w:ascii="黑体" w:hAnsi="黑体" w:eastAsia="黑体" w:cs="Times New Roman"/>
          <w:bCs/>
          <w:color w:val="000000"/>
        </w:rPr>
        <w:t xml:space="preserve"> 201</w:t>
      </w:r>
      <w:r>
        <w:rPr>
          <w:rFonts w:hint="eastAsia" w:ascii="黑体" w:hAnsi="黑体" w:eastAsia="黑体" w:cs="Times New Roman"/>
          <w:bCs/>
          <w:color w:val="000000"/>
        </w:rPr>
        <w:t>6</w:t>
      </w:r>
      <w:r>
        <w:rPr>
          <w:rFonts w:ascii="黑体" w:hAnsi="黑体" w:eastAsia="黑体" w:cs="Times New Roman"/>
          <w:bCs/>
          <w:color w:val="000000"/>
        </w:rPr>
        <w:t>-201</w:t>
      </w:r>
      <w:r>
        <w:rPr>
          <w:rFonts w:hint="eastAsia" w:ascii="黑体" w:hAnsi="黑体" w:eastAsia="黑体" w:cs="Times New Roman"/>
          <w:bCs/>
          <w:color w:val="000000"/>
        </w:rPr>
        <w:t>8</w:t>
      </w:r>
      <w:r>
        <w:rPr>
          <w:rFonts w:hint="eastAsia" w:ascii="黑体" w:hAnsi="黑体" w:eastAsia="黑体" w:cs="黑体"/>
          <w:color w:val="000000"/>
        </w:rPr>
        <w:t>届毕业生就业行业对比分析</w:t>
      </w:r>
    </w:p>
    <w:p>
      <w:pPr>
        <w:spacing w:before="156" w:beforeLines="50" w:line="500" w:lineRule="exact"/>
        <w:rPr>
          <w:rFonts w:ascii="宋体" w:hAnsi="宋体" w:eastAsia="宋体"/>
          <w:sz w:val="20"/>
          <w:szCs w:val="20"/>
        </w:rPr>
      </w:pPr>
      <w:r>
        <w:rPr>
          <w:rFonts w:hint="eastAsia" w:ascii="宋体" w:hAnsi="宋体" w:eastAsia="宋体"/>
          <w:sz w:val="20"/>
          <w:szCs w:val="20"/>
        </w:rPr>
        <w:t>数据来源：重庆市大学中专毕业生就业办公信息系统</w:t>
      </w:r>
    </w:p>
    <w:p>
      <w:pPr>
        <w:spacing w:before="156" w:beforeLines="50" w:line="500" w:lineRule="exact"/>
        <w:rPr>
          <w:rFonts w:ascii="宋体" w:hAnsi="宋体" w:eastAsia="宋体"/>
          <w:sz w:val="20"/>
          <w:szCs w:val="20"/>
        </w:rPr>
      </w:pPr>
    </w:p>
    <w:p>
      <w:pPr>
        <w:spacing w:before="156" w:beforeLines="50" w:line="500" w:lineRule="exact"/>
        <w:rPr>
          <w:rFonts w:ascii="宋体" w:hAnsi="宋体" w:eastAsia="宋体"/>
          <w:sz w:val="20"/>
          <w:szCs w:val="20"/>
        </w:rPr>
      </w:pPr>
    </w:p>
    <w:p>
      <w:pPr>
        <w:spacing w:before="156" w:beforeLines="50" w:line="500" w:lineRule="exact"/>
        <w:rPr>
          <w:rFonts w:ascii="宋体" w:hAnsi="宋体" w:eastAsia="宋体"/>
          <w:sz w:val="20"/>
          <w:szCs w:val="20"/>
        </w:rPr>
      </w:pPr>
    </w:p>
    <w:p>
      <w:pPr>
        <w:spacing w:before="156" w:beforeLines="50" w:line="500" w:lineRule="exact"/>
        <w:rPr>
          <w:rFonts w:ascii="宋体" w:hAnsi="宋体" w:eastAsia="宋体"/>
          <w:sz w:val="20"/>
          <w:szCs w:val="20"/>
        </w:rPr>
      </w:pPr>
    </w:p>
    <w:p>
      <w:pPr>
        <w:spacing w:before="156" w:beforeLines="50" w:line="500" w:lineRule="exact"/>
        <w:rPr>
          <w:rFonts w:ascii="宋体" w:hAnsi="宋体" w:eastAsia="宋体"/>
          <w:sz w:val="20"/>
          <w:szCs w:val="20"/>
        </w:rPr>
      </w:pPr>
    </w:p>
    <w:p>
      <w:pPr>
        <w:spacing w:before="156" w:beforeLines="50" w:line="500" w:lineRule="exact"/>
        <w:rPr>
          <w:rFonts w:ascii="宋体" w:hAnsi="宋体" w:eastAsia="宋体"/>
          <w:sz w:val="20"/>
          <w:szCs w:val="20"/>
        </w:rPr>
      </w:pPr>
    </w:p>
    <w:p>
      <w:pPr>
        <w:spacing w:before="156" w:beforeLines="50" w:line="500" w:lineRule="exact"/>
        <w:rPr>
          <w:rFonts w:ascii="宋体" w:hAnsi="宋体" w:eastAsia="宋体"/>
          <w:sz w:val="20"/>
          <w:szCs w:val="20"/>
        </w:rPr>
      </w:pPr>
    </w:p>
    <w:p>
      <w:pPr>
        <w:spacing w:before="156" w:beforeLines="50" w:line="500" w:lineRule="exact"/>
        <w:rPr>
          <w:rFonts w:ascii="宋体" w:hAnsi="宋体" w:eastAsia="宋体"/>
          <w:sz w:val="20"/>
          <w:szCs w:val="20"/>
        </w:rPr>
      </w:pPr>
    </w:p>
    <w:p>
      <w:pPr>
        <w:pStyle w:val="2"/>
        <w:jc w:val="center"/>
        <w:rPr>
          <w:rStyle w:val="27"/>
          <w:b/>
          <w:color w:val="FFFFFF" w:themeColor="background1"/>
          <w14:textFill>
            <w14:solidFill>
              <w14:schemeClr w14:val="bg1"/>
            </w14:solidFill>
          </w14:textFill>
        </w:rPr>
      </w:pPr>
      <w:r>
        <w:fldChar w:fldCharType="begin"/>
      </w:r>
      <w:r>
        <w:instrText xml:space="preserve"> HYPERLINK \l "_Toc397169579" </w:instrText>
      </w:r>
      <w:r>
        <w:fldChar w:fldCharType="separate"/>
      </w:r>
      <w:bookmarkStart w:id="38" w:name="_Toc533510658"/>
      <w:r>
        <w:rPr>
          <w:rStyle w:val="27"/>
          <w:rFonts w:hint="eastAsia" w:ascii="微软雅黑" w:hAnsi="微软雅黑" w:eastAsia="微软雅黑"/>
          <w:b/>
          <w:color w:val="FFFFFF" w:themeColor="background1"/>
          <w:sz w:val="32"/>
          <w:szCs w:val="32"/>
          <w14:textFill>
            <w14:solidFill>
              <w14:schemeClr w14:val="bg1"/>
            </w14:solidFill>
          </w14:textFill>
        </w:rPr>
        <w:t>第五篇：就业对教育教学的反馈</w:t>
      </w:r>
      <w:bookmarkEnd w:id="38"/>
      <w:r>
        <w:rPr>
          <w:rStyle w:val="27"/>
          <w:rFonts w:hint="eastAsia" w:ascii="微软雅黑" w:hAnsi="微软雅黑" w:eastAsia="微软雅黑"/>
          <w:b/>
          <w:color w:val="FFFFFF" w:themeColor="background1"/>
          <w:sz w:val="32"/>
          <w:szCs w:val="32"/>
          <w14:textFill>
            <w14:solidFill>
              <w14:schemeClr w14:val="bg1"/>
            </w14:solidFill>
          </w14:textFill>
        </w:rPr>
        <w:fldChar w:fldCharType="end"/>
      </w:r>
    </w:p>
    <w:p>
      <w:pPr>
        <w:pStyle w:val="3"/>
      </w:pPr>
      <w:bookmarkStart w:id="39" w:name="_Toc533510659"/>
      <w:r>
        <w:rPr>
          <w:rFonts w:hint="eastAsia"/>
        </w:rPr>
        <w:t>一、对人才培养的影响</w:t>
      </w:r>
      <w:bookmarkEnd w:id="39"/>
    </w:p>
    <w:p>
      <w:pPr>
        <w:pStyle w:val="4"/>
      </w:pPr>
      <w:bookmarkStart w:id="40" w:name="_Toc533510660"/>
      <w:r>
        <w:rPr>
          <w:rFonts w:hint="eastAsia"/>
        </w:rPr>
        <w:t>（一）对人才培养的评价</w:t>
      </w:r>
      <w:bookmarkEnd w:id="40"/>
    </w:p>
    <w:p>
      <w:pPr>
        <w:spacing w:before="156" w:beforeLines="50" w:line="500" w:lineRule="exact"/>
        <w:rPr>
          <w:rFonts w:ascii="宋体" w:hAnsi="宋体" w:eastAsia="宋体"/>
          <w:b/>
          <w:sz w:val="28"/>
          <w:szCs w:val="28"/>
        </w:rPr>
      </w:pPr>
      <w:r>
        <w:rPr>
          <w:sz w:val="24"/>
          <w:szCs w:val="24"/>
        </w:rPr>
        <w:drawing>
          <wp:anchor distT="0" distB="0" distL="114300" distR="114300" simplePos="0" relativeHeight="251701248" behindDoc="0" locked="0" layoutInCell="1" allowOverlap="1">
            <wp:simplePos x="0" y="0"/>
            <wp:positionH relativeFrom="column">
              <wp:posOffset>847725</wp:posOffset>
            </wp:positionH>
            <wp:positionV relativeFrom="paragraph">
              <wp:posOffset>1238885</wp:posOffset>
            </wp:positionV>
            <wp:extent cx="4438650" cy="1933575"/>
            <wp:effectExtent l="0" t="0" r="19050" b="9525"/>
            <wp:wrapTopAndBottom/>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rFonts w:hint="eastAsia" w:ascii="宋体" w:hAnsi="宋体" w:eastAsia="宋体"/>
          <w:b/>
          <w:sz w:val="28"/>
          <w:szCs w:val="28"/>
        </w:rPr>
        <w:t>1、母校的满意度</w:t>
      </w:r>
    </w:p>
    <w:p>
      <w:pPr>
        <w:ind w:firstLine="560" w:firstLineChars="200"/>
        <w:rPr>
          <w:sz w:val="24"/>
          <w:szCs w:val="24"/>
        </w:rPr>
      </w:pPr>
      <w:r>
        <w:rPr>
          <w:rFonts w:hint="eastAsia"/>
          <w:sz w:val="28"/>
          <w:szCs w:val="28"/>
        </w:rPr>
        <w:t>2018届毕业生对母校的满意度为97.03%，总体满意度较高</w:t>
      </w:r>
    </w:p>
    <w:p>
      <w:pPr>
        <w:widowControl w:val="0"/>
        <w:autoSpaceDE w:val="0"/>
        <w:autoSpaceDN w:val="0"/>
        <w:adjustRightInd w:val="0"/>
        <w:jc w:val="center"/>
        <w:rPr>
          <w:rFonts w:ascii="黑体" w:hAnsi="Times New Roman" w:eastAsia="黑体" w:cs="黑体"/>
          <w:color w:val="000000"/>
        </w:rPr>
      </w:pPr>
      <w:r>
        <w:rPr>
          <w:rFonts w:hint="eastAsia" w:ascii="黑体" w:eastAsia="黑体" w:cs="黑体"/>
          <w:color w:val="000000"/>
        </w:rPr>
        <w:t>图</w:t>
      </w:r>
      <w:r>
        <w:rPr>
          <w:rFonts w:hint="eastAsia" w:ascii="Times New Roman" w:hAnsi="Times New Roman" w:eastAsia="黑体" w:cs="Times New Roman"/>
          <w:b/>
          <w:bCs/>
          <w:color w:val="000000"/>
        </w:rPr>
        <w:t>5</w:t>
      </w:r>
      <w:r>
        <w:rPr>
          <w:rFonts w:ascii="Times New Roman" w:hAnsi="Times New Roman" w:eastAsia="黑体" w:cs="Times New Roman"/>
          <w:b/>
          <w:bCs/>
          <w:color w:val="000000"/>
        </w:rPr>
        <w:t xml:space="preserve">- </w:t>
      </w:r>
      <w:r>
        <w:rPr>
          <w:rFonts w:hint="eastAsia" w:ascii="Times New Roman" w:hAnsi="Times New Roman" w:eastAsia="黑体" w:cs="Times New Roman"/>
          <w:b/>
          <w:bCs/>
          <w:color w:val="000000"/>
        </w:rPr>
        <w:t>1</w:t>
      </w:r>
      <w:r>
        <w:rPr>
          <w:rFonts w:ascii="Times New Roman" w:hAnsi="Times New Roman" w:eastAsia="黑体" w:cs="Times New Roman"/>
          <w:b/>
          <w:bCs/>
          <w:color w:val="000000"/>
        </w:rPr>
        <w:t xml:space="preserve"> 201</w:t>
      </w:r>
      <w:r>
        <w:rPr>
          <w:rFonts w:hint="eastAsia" w:ascii="Times New Roman" w:hAnsi="Times New Roman" w:eastAsia="黑体" w:cs="Times New Roman"/>
          <w:b/>
          <w:bCs/>
          <w:color w:val="000000"/>
        </w:rPr>
        <w:t>8</w:t>
      </w:r>
      <w:r>
        <w:rPr>
          <w:rFonts w:hint="eastAsia" w:ascii="黑体" w:hAnsi="Times New Roman" w:eastAsia="黑体" w:cs="黑体"/>
          <w:color w:val="000000"/>
        </w:rPr>
        <w:t>届毕业生对母校的满意度</w:t>
      </w:r>
    </w:p>
    <w:p>
      <w:pPr>
        <w:rPr>
          <w:sz w:val="20"/>
          <w:szCs w:val="20"/>
        </w:rPr>
      </w:pPr>
      <w:r>
        <w:rPr>
          <w:rFonts w:hint="eastAsia" w:ascii="宋体" w:hAnsi="Times New Roman" w:eastAsia="宋体" w:cs="宋体"/>
          <w:color w:val="000000"/>
          <w:sz w:val="20"/>
          <w:szCs w:val="20"/>
        </w:rPr>
        <w:t>数据来源：第三方机构成都泽奥</w:t>
      </w:r>
      <w:r>
        <w:rPr>
          <w:rFonts w:ascii="宋体" w:hAnsi="Times New Roman" w:eastAsia="宋体" w:cs="宋体"/>
          <w:color w:val="000000"/>
          <w:sz w:val="20"/>
          <w:szCs w:val="20"/>
        </w:rPr>
        <w:t>-201</w:t>
      </w:r>
      <w:r>
        <w:rPr>
          <w:rFonts w:hint="eastAsia" w:ascii="宋体" w:hAnsi="Times New Roman" w:eastAsia="宋体" w:cs="宋体"/>
          <w:color w:val="000000"/>
          <w:sz w:val="20"/>
          <w:szCs w:val="20"/>
        </w:rPr>
        <w:t>8届毕业生就业与培养质量调查。</w:t>
      </w:r>
    </w:p>
    <w:p>
      <w:pPr>
        <w:spacing w:before="156" w:beforeLines="50" w:line="500" w:lineRule="exact"/>
        <w:rPr>
          <w:rFonts w:ascii="宋体" w:hAnsi="宋体" w:eastAsia="宋体"/>
          <w:b/>
          <w:sz w:val="28"/>
          <w:szCs w:val="28"/>
        </w:rPr>
      </w:pPr>
      <w:r>
        <w:rPr>
          <w:rFonts w:hint="eastAsia" w:ascii="宋体" w:hAnsi="宋体" w:eastAsia="宋体"/>
          <w:b/>
          <w:sz w:val="28"/>
          <w:szCs w:val="28"/>
        </w:rPr>
        <w:t>2、母校的推荐度</w:t>
      </w:r>
    </w:p>
    <w:p>
      <w:pPr>
        <w:spacing w:before="156" w:beforeLines="50" w:line="500" w:lineRule="exact"/>
        <w:ind w:firstLine="560" w:firstLineChars="200"/>
        <w:rPr>
          <w:rFonts w:ascii="宋体" w:hAnsi="宋体" w:eastAsia="宋体"/>
          <w:sz w:val="28"/>
          <w:szCs w:val="28"/>
        </w:rPr>
      </w:pPr>
      <w:r>
        <w:rPr>
          <w:rFonts w:hint="eastAsia" w:ascii="宋体" w:hAnsi="宋体" w:eastAsia="宋体"/>
          <w:sz w:val="28"/>
          <w:szCs w:val="28"/>
        </w:rPr>
        <w:t>2018届毕业生对母校的推荐度超过六成，可见毕业生对母校还是愿意推荐的。</w:t>
      </w:r>
    </w:p>
    <w:p>
      <w:pPr>
        <w:jc w:val="center"/>
      </w:pPr>
      <w:r>
        <w:drawing>
          <wp:inline distT="0" distB="0" distL="0" distR="0">
            <wp:extent cx="4572000" cy="2743200"/>
            <wp:effectExtent l="0" t="0" r="19050" b="19050"/>
            <wp:docPr id="306" name="图表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widowControl w:val="0"/>
        <w:autoSpaceDE w:val="0"/>
        <w:autoSpaceDN w:val="0"/>
        <w:adjustRightInd w:val="0"/>
        <w:jc w:val="center"/>
        <w:rPr>
          <w:rFonts w:ascii="黑体" w:hAnsi="Times New Roman" w:eastAsia="黑体" w:cs="黑体"/>
          <w:color w:val="000000"/>
        </w:rPr>
      </w:pPr>
      <w:r>
        <w:rPr>
          <w:rFonts w:hint="eastAsia" w:ascii="黑体" w:eastAsia="黑体" w:cs="黑体"/>
          <w:color w:val="000000"/>
        </w:rPr>
        <w:t>图</w:t>
      </w:r>
      <w:r>
        <w:rPr>
          <w:rFonts w:hint="eastAsia" w:ascii="Times New Roman" w:hAnsi="Times New Roman" w:eastAsia="黑体" w:cs="Times New Roman"/>
          <w:b/>
          <w:bCs/>
          <w:color w:val="000000"/>
        </w:rPr>
        <w:t>5</w:t>
      </w:r>
      <w:r>
        <w:rPr>
          <w:rFonts w:ascii="Times New Roman" w:hAnsi="Times New Roman" w:eastAsia="黑体" w:cs="Times New Roman"/>
          <w:b/>
          <w:bCs/>
          <w:color w:val="000000"/>
        </w:rPr>
        <w:t xml:space="preserve">- </w:t>
      </w:r>
      <w:r>
        <w:rPr>
          <w:rFonts w:hint="eastAsia" w:ascii="Times New Roman" w:hAnsi="Times New Roman" w:eastAsia="黑体" w:cs="Times New Roman"/>
          <w:b/>
          <w:bCs/>
          <w:color w:val="000000"/>
        </w:rPr>
        <w:t>2</w:t>
      </w:r>
      <w:r>
        <w:rPr>
          <w:rFonts w:ascii="Times New Roman" w:hAnsi="Times New Roman" w:eastAsia="黑体" w:cs="Times New Roman"/>
          <w:b/>
          <w:bCs/>
          <w:color w:val="000000"/>
        </w:rPr>
        <w:t xml:space="preserve"> </w:t>
      </w:r>
      <w:r>
        <w:rPr>
          <w:rFonts w:hint="eastAsia" w:ascii="Times New Roman" w:hAnsi="Times New Roman" w:eastAsia="黑体" w:cs="Times New Roman"/>
          <w:b/>
          <w:bCs/>
          <w:color w:val="000000"/>
        </w:rPr>
        <w:t xml:space="preserve"> </w:t>
      </w:r>
      <w:r>
        <w:rPr>
          <w:rFonts w:ascii="Times New Roman" w:hAnsi="Times New Roman" w:eastAsia="黑体" w:cs="Times New Roman"/>
          <w:b/>
          <w:bCs/>
          <w:color w:val="000000"/>
        </w:rPr>
        <w:t>201</w:t>
      </w:r>
      <w:r>
        <w:rPr>
          <w:rFonts w:hint="eastAsia" w:ascii="Times New Roman" w:hAnsi="Times New Roman" w:eastAsia="黑体" w:cs="Times New Roman"/>
          <w:b/>
          <w:bCs/>
          <w:color w:val="000000"/>
        </w:rPr>
        <w:t>8</w:t>
      </w:r>
      <w:r>
        <w:rPr>
          <w:rFonts w:hint="eastAsia" w:ascii="黑体" w:hAnsi="Times New Roman" w:eastAsia="黑体" w:cs="黑体"/>
          <w:color w:val="000000"/>
        </w:rPr>
        <w:t>届毕业生对母校的推荐度</w:t>
      </w:r>
    </w:p>
    <w:p>
      <w:pPr>
        <w:rPr>
          <w:sz w:val="20"/>
          <w:szCs w:val="20"/>
        </w:rPr>
      </w:pPr>
      <w:r>
        <w:rPr>
          <w:rFonts w:hint="eastAsia" w:ascii="宋体" w:hAnsi="Times New Roman" w:eastAsia="宋体" w:cs="宋体"/>
          <w:color w:val="000000"/>
          <w:sz w:val="20"/>
          <w:szCs w:val="20"/>
        </w:rPr>
        <w:t>数据来源：第三方机构成都泽奥</w:t>
      </w:r>
      <w:r>
        <w:rPr>
          <w:rFonts w:ascii="宋体" w:hAnsi="Times New Roman" w:eastAsia="宋体" w:cs="宋体"/>
          <w:color w:val="000000"/>
          <w:sz w:val="20"/>
          <w:szCs w:val="20"/>
        </w:rPr>
        <w:t>-201</w:t>
      </w:r>
      <w:r>
        <w:rPr>
          <w:rFonts w:hint="eastAsia" w:ascii="宋体" w:hAnsi="Times New Roman" w:eastAsia="宋体" w:cs="宋体"/>
          <w:color w:val="000000"/>
          <w:sz w:val="20"/>
          <w:szCs w:val="20"/>
        </w:rPr>
        <w:t>8届毕业生就业与培养质量调查。</w:t>
      </w:r>
    </w:p>
    <w:p>
      <w:pPr>
        <w:rPr>
          <w:b/>
          <w:sz w:val="28"/>
          <w:szCs w:val="28"/>
        </w:rPr>
      </w:pPr>
      <w:r>
        <w:rPr>
          <w:rFonts w:hint="eastAsia"/>
          <w:b/>
          <w:sz w:val="28"/>
          <w:szCs w:val="28"/>
        </w:rPr>
        <w:t>3、对课堂教学的评价</w:t>
      </w:r>
    </w:p>
    <w:p>
      <w:pPr>
        <w:spacing w:line="360" w:lineRule="auto"/>
        <w:ind w:firstLine="560" w:firstLineChars="200"/>
        <w:rPr>
          <w:sz w:val="28"/>
          <w:szCs w:val="28"/>
        </w:rPr>
      </w:pPr>
      <w:r>
        <w:rPr>
          <w:sz w:val="28"/>
          <w:szCs w:val="28"/>
        </w:rPr>
        <w:drawing>
          <wp:anchor distT="0" distB="0" distL="114300" distR="114300" simplePos="0" relativeHeight="251704320" behindDoc="0" locked="0" layoutInCell="1" allowOverlap="1">
            <wp:simplePos x="0" y="0"/>
            <wp:positionH relativeFrom="column">
              <wp:posOffset>3150235</wp:posOffset>
            </wp:positionH>
            <wp:positionV relativeFrom="paragraph">
              <wp:posOffset>1474470</wp:posOffset>
            </wp:positionV>
            <wp:extent cx="3160395" cy="1934210"/>
            <wp:effectExtent l="0" t="0" r="20955" b="27940"/>
            <wp:wrapTopAndBottom/>
            <wp:docPr id="303" name="图表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sz w:val="28"/>
          <w:szCs w:val="28"/>
        </w:rPr>
        <w:drawing>
          <wp:anchor distT="0" distB="0" distL="114300" distR="114300" simplePos="0" relativeHeight="251703296" behindDoc="0" locked="0" layoutInCell="1" allowOverlap="1">
            <wp:simplePos x="0" y="0"/>
            <wp:positionH relativeFrom="column">
              <wp:posOffset>-142875</wp:posOffset>
            </wp:positionH>
            <wp:positionV relativeFrom="paragraph">
              <wp:posOffset>1468120</wp:posOffset>
            </wp:positionV>
            <wp:extent cx="3190875" cy="1933575"/>
            <wp:effectExtent l="0" t="0" r="9525" b="9525"/>
            <wp:wrapTopAndBottom/>
            <wp:docPr id="304" name="图表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rFonts w:hint="eastAsia"/>
          <w:sz w:val="28"/>
          <w:szCs w:val="28"/>
        </w:rPr>
        <w:t>2018届毕业生对课堂教学的评价满意度为97.99%，总体满意度较高；课堂教学需要改进的方面是：课堂学习气氛热烈活跃（68.8%），课堂上师生关系民主平等和谐（38.9%），课堂严格管理纪律良好（38.8%）</w:t>
      </w:r>
    </w:p>
    <w:p>
      <w:pPr>
        <w:spacing w:before="156" w:beforeLines="50" w:line="500" w:lineRule="exact"/>
        <w:jc w:val="center"/>
        <w:rPr>
          <w:rFonts w:ascii="黑体" w:hAnsi="Times New Roman" w:eastAsia="黑体" w:cs="黑体"/>
          <w:color w:val="000000"/>
        </w:rPr>
      </w:pPr>
      <w:r>
        <w:rPr>
          <w:rFonts w:hint="eastAsia" w:ascii="黑体" w:eastAsia="黑体" w:cs="黑体"/>
          <w:color w:val="000000"/>
        </w:rPr>
        <w:t>图</w:t>
      </w:r>
      <w:r>
        <w:rPr>
          <w:rFonts w:hint="eastAsia" w:ascii="Times New Roman" w:hAnsi="Times New Roman" w:eastAsia="黑体" w:cs="Times New Roman"/>
          <w:b/>
          <w:bCs/>
          <w:color w:val="000000"/>
        </w:rPr>
        <w:t>5</w:t>
      </w:r>
      <w:r>
        <w:rPr>
          <w:rFonts w:ascii="Times New Roman" w:hAnsi="Times New Roman" w:eastAsia="黑体" w:cs="Times New Roman"/>
          <w:b/>
          <w:bCs/>
          <w:color w:val="000000"/>
        </w:rPr>
        <w:t xml:space="preserve">- </w:t>
      </w:r>
      <w:r>
        <w:rPr>
          <w:rFonts w:hint="eastAsia" w:ascii="Times New Roman" w:hAnsi="Times New Roman" w:eastAsia="黑体" w:cs="Times New Roman"/>
          <w:b/>
          <w:bCs/>
          <w:color w:val="000000"/>
        </w:rPr>
        <w:t>3</w:t>
      </w:r>
      <w:r>
        <w:rPr>
          <w:rFonts w:ascii="Times New Roman" w:hAnsi="Times New Roman" w:eastAsia="黑体" w:cs="Times New Roman"/>
          <w:b/>
          <w:bCs/>
          <w:color w:val="000000"/>
        </w:rPr>
        <w:t xml:space="preserve"> </w:t>
      </w:r>
      <w:r>
        <w:rPr>
          <w:rFonts w:hint="eastAsia" w:ascii="Times New Roman" w:hAnsi="Times New Roman" w:eastAsia="黑体" w:cs="Times New Roman"/>
          <w:b/>
          <w:bCs/>
          <w:color w:val="000000"/>
        </w:rPr>
        <w:t xml:space="preserve"> </w:t>
      </w:r>
      <w:r>
        <w:rPr>
          <w:rFonts w:ascii="Times New Roman" w:hAnsi="Times New Roman" w:eastAsia="黑体" w:cs="Times New Roman"/>
          <w:b/>
          <w:bCs/>
          <w:color w:val="000000"/>
        </w:rPr>
        <w:t>201</w:t>
      </w:r>
      <w:r>
        <w:rPr>
          <w:rFonts w:hint="eastAsia" w:ascii="Times New Roman" w:hAnsi="Times New Roman" w:eastAsia="黑体" w:cs="Times New Roman"/>
          <w:b/>
          <w:bCs/>
          <w:color w:val="000000"/>
        </w:rPr>
        <w:t>8</w:t>
      </w:r>
      <w:r>
        <w:rPr>
          <w:rFonts w:hint="eastAsia" w:ascii="黑体" w:hAnsi="Times New Roman" w:eastAsia="黑体" w:cs="黑体"/>
          <w:color w:val="000000"/>
        </w:rPr>
        <w:t>届毕业生对课堂教学的评价</w:t>
      </w:r>
    </w:p>
    <w:p>
      <w:pPr>
        <w:rPr>
          <w:sz w:val="20"/>
          <w:szCs w:val="20"/>
        </w:rPr>
      </w:pPr>
      <w:r>
        <w:rPr>
          <w:rFonts w:hint="eastAsia" w:ascii="宋体" w:hAnsi="Times New Roman" w:eastAsia="宋体" w:cs="宋体"/>
          <w:color w:val="000000"/>
          <w:sz w:val="20"/>
          <w:szCs w:val="20"/>
        </w:rPr>
        <w:t>数据来源：第三方机构成都泽奥</w:t>
      </w:r>
      <w:r>
        <w:rPr>
          <w:rFonts w:ascii="宋体" w:hAnsi="Times New Roman" w:eastAsia="宋体" w:cs="宋体"/>
          <w:color w:val="000000"/>
          <w:sz w:val="20"/>
          <w:szCs w:val="20"/>
        </w:rPr>
        <w:t>-201</w:t>
      </w:r>
      <w:r>
        <w:rPr>
          <w:rFonts w:hint="eastAsia" w:ascii="宋体" w:hAnsi="Times New Roman" w:eastAsia="宋体" w:cs="宋体"/>
          <w:color w:val="000000"/>
          <w:sz w:val="20"/>
          <w:szCs w:val="20"/>
        </w:rPr>
        <w:t>8届毕业生就业与培养质量调查。</w:t>
      </w:r>
    </w:p>
    <w:p>
      <w:pPr>
        <w:spacing w:before="156" w:beforeLines="50" w:line="500" w:lineRule="exact"/>
        <w:rPr>
          <w:rFonts w:ascii="宋体" w:hAnsi="宋体" w:eastAsia="宋体"/>
          <w:b/>
          <w:sz w:val="28"/>
          <w:szCs w:val="28"/>
        </w:rPr>
      </w:pPr>
      <w:r>
        <w:rPr>
          <w:rFonts w:hint="eastAsia" w:ascii="宋体" w:hAnsi="宋体" w:eastAsia="宋体"/>
          <w:b/>
          <w:sz w:val="28"/>
          <w:szCs w:val="28"/>
        </w:rPr>
        <w:t>4、对实践教学的评价</w:t>
      </w:r>
    </w:p>
    <w:p>
      <w:pPr>
        <w:spacing w:before="156" w:beforeLines="50" w:line="500" w:lineRule="exact"/>
        <w:ind w:firstLine="560" w:firstLineChars="200"/>
        <w:rPr>
          <w:rFonts w:ascii="宋体" w:hAnsi="宋体" w:eastAsia="宋体"/>
          <w:sz w:val="28"/>
          <w:szCs w:val="28"/>
        </w:rPr>
      </w:pPr>
      <w:r>
        <w:rPr>
          <w:sz w:val="28"/>
          <w:szCs w:val="28"/>
        </w:rPr>
        <w:drawing>
          <wp:anchor distT="0" distB="0" distL="114300" distR="114300" simplePos="0" relativeHeight="251706368" behindDoc="0" locked="0" layoutInCell="1" allowOverlap="1">
            <wp:simplePos x="0" y="0"/>
            <wp:positionH relativeFrom="column">
              <wp:posOffset>3164840</wp:posOffset>
            </wp:positionH>
            <wp:positionV relativeFrom="paragraph">
              <wp:posOffset>1817370</wp:posOffset>
            </wp:positionV>
            <wp:extent cx="2790825" cy="2066925"/>
            <wp:effectExtent l="0" t="0" r="9525" b="9525"/>
            <wp:wrapTopAndBottom/>
            <wp:docPr id="305" name="图表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Pr>
          <w:sz w:val="28"/>
          <w:szCs w:val="28"/>
        </w:rPr>
        <w:drawing>
          <wp:anchor distT="0" distB="0" distL="114300" distR="114300" simplePos="0" relativeHeight="251705344" behindDoc="0" locked="0" layoutInCell="1" allowOverlap="1">
            <wp:simplePos x="0" y="0"/>
            <wp:positionH relativeFrom="column">
              <wp:posOffset>-52070</wp:posOffset>
            </wp:positionH>
            <wp:positionV relativeFrom="paragraph">
              <wp:posOffset>1818005</wp:posOffset>
            </wp:positionV>
            <wp:extent cx="3060700" cy="2066925"/>
            <wp:effectExtent l="0" t="0" r="25400" b="9525"/>
            <wp:wrapTopAndBottom/>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Pr>
          <w:rFonts w:hint="eastAsia" w:ascii="宋体" w:hAnsi="宋体" w:eastAsia="宋体"/>
          <w:sz w:val="28"/>
          <w:szCs w:val="28"/>
        </w:rPr>
        <w:t>2018届毕业生对母校实践教学的满意度为96.44%，有3.56%的学生对实践教学不满意。其中65.51%的毕业生认为专业实习的环节需要改进，49.64%的毕业生认为课程的实践性教学环节需要改进，28.42%的毕业生认为课程设计应有所改进，25.32%的毕业生认为毕业论文设计需要改进。可见，学生对于实践性教学、专业实习这两项的改进要求较为迫切。</w:t>
      </w:r>
    </w:p>
    <w:p>
      <w:pPr>
        <w:spacing w:before="156" w:beforeLines="50" w:line="500" w:lineRule="exact"/>
        <w:jc w:val="center"/>
        <w:rPr>
          <w:rFonts w:ascii="黑体" w:hAnsi="Times New Roman" w:eastAsia="黑体" w:cs="黑体"/>
          <w:color w:val="000000"/>
        </w:rPr>
      </w:pPr>
      <w:r>
        <w:rPr>
          <w:rFonts w:hint="eastAsia" w:ascii="黑体" w:eastAsia="黑体" w:cs="黑体"/>
          <w:color w:val="000000"/>
        </w:rPr>
        <w:t>图</w:t>
      </w:r>
      <w:r>
        <w:rPr>
          <w:rFonts w:hint="eastAsia" w:ascii="Times New Roman" w:hAnsi="Times New Roman" w:eastAsia="黑体" w:cs="Times New Roman"/>
          <w:b/>
          <w:bCs/>
          <w:color w:val="000000"/>
        </w:rPr>
        <w:t>5</w:t>
      </w:r>
      <w:r>
        <w:rPr>
          <w:rFonts w:ascii="Times New Roman" w:hAnsi="Times New Roman" w:eastAsia="黑体" w:cs="Times New Roman"/>
          <w:b/>
          <w:bCs/>
          <w:color w:val="000000"/>
        </w:rPr>
        <w:t xml:space="preserve">- </w:t>
      </w:r>
      <w:r>
        <w:rPr>
          <w:rFonts w:hint="eastAsia" w:ascii="Times New Roman" w:hAnsi="Times New Roman" w:eastAsia="黑体" w:cs="Times New Roman"/>
          <w:b/>
          <w:bCs/>
          <w:color w:val="000000"/>
        </w:rPr>
        <w:t>4</w:t>
      </w:r>
      <w:r>
        <w:rPr>
          <w:rFonts w:ascii="Times New Roman" w:hAnsi="Times New Roman" w:eastAsia="黑体" w:cs="Times New Roman"/>
          <w:b/>
          <w:bCs/>
          <w:color w:val="000000"/>
        </w:rPr>
        <w:t xml:space="preserve"> </w:t>
      </w:r>
      <w:r>
        <w:rPr>
          <w:rFonts w:hint="eastAsia" w:ascii="Times New Roman" w:hAnsi="Times New Roman" w:eastAsia="黑体" w:cs="Times New Roman"/>
          <w:b/>
          <w:bCs/>
          <w:color w:val="000000"/>
        </w:rPr>
        <w:t xml:space="preserve"> </w:t>
      </w:r>
      <w:r>
        <w:rPr>
          <w:rFonts w:ascii="Times New Roman" w:hAnsi="Times New Roman" w:eastAsia="黑体" w:cs="Times New Roman"/>
          <w:b/>
          <w:bCs/>
          <w:color w:val="000000"/>
        </w:rPr>
        <w:t>201</w:t>
      </w:r>
      <w:r>
        <w:rPr>
          <w:rFonts w:hint="eastAsia" w:ascii="Times New Roman" w:hAnsi="Times New Roman" w:eastAsia="黑体" w:cs="Times New Roman"/>
          <w:b/>
          <w:bCs/>
          <w:color w:val="000000"/>
        </w:rPr>
        <w:t>8</w:t>
      </w:r>
      <w:r>
        <w:rPr>
          <w:rFonts w:hint="eastAsia" w:ascii="黑体" w:hAnsi="Times New Roman" w:eastAsia="黑体" w:cs="黑体"/>
          <w:color w:val="000000"/>
        </w:rPr>
        <w:t>届毕业生对实践教学的评价</w:t>
      </w:r>
    </w:p>
    <w:p>
      <w:pPr>
        <w:rPr>
          <w:sz w:val="20"/>
          <w:szCs w:val="20"/>
        </w:rPr>
      </w:pPr>
      <w:r>
        <w:rPr>
          <w:rFonts w:hint="eastAsia" w:ascii="宋体" w:hAnsi="Times New Roman" w:eastAsia="宋体" w:cs="宋体"/>
          <w:color w:val="000000"/>
          <w:sz w:val="20"/>
          <w:szCs w:val="20"/>
        </w:rPr>
        <w:t>数据来源：第三方机构成都泽奥</w:t>
      </w:r>
      <w:r>
        <w:rPr>
          <w:rFonts w:ascii="宋体" w:hAnsi="Times New Roman" w:eastAsia="宋体" w:cs="宋体"/>
          <w:color w:val="000000"/>
          <w:sz w:val="20"/>
          <w:szCs w:val="20"/>
        </w:rPr>
        <w:t>-201</w:t>
      </w:r>
      <w:r>
        <w:rPr>
          <w:rFonts w:hint="eastAsia" w:ascii="宋体" w:hAnsi="Times New Roman" w:eastAsia="宋体" w:cs="宋体"/>
          <w:color w:val="000000"/>
          <w:sz w:val="20"/>
          <w:szCs w:val="20"/>
        </w:rPr>
        <w:t>8届毕业生就业与培养质量调查。</w:t>
      </w:r>
    </w:p>
    <w:p>
      <w:pPr>
        <w:spacing w:line="360" w:lineRule="auto"/>
        <w:ind w:firstLine="551" w:firstLineChars="196"/>
        <w:rPr>
          <w:sz w:val="28"/>
          <w:szCs w:val="28"/>
        </w:rPr>
      </w:pPr>
      <w:r>
        <w:rPr>
          <w:rFonts w:hint="eastAsia"/>
          <w:b/>
          <w:sz w:val="28"/>
          <w:szCs w:val="28"/>
        </w:rPr>
        <w:t>任课教师满意度：</w:t>
      </w:r>
      <w:r>
        <w:rPr>
          <w:rFonts w:ascii="Times New Roman" w:hAnsi="Times New Roman" w:cs="Times New Roman"/>
          <w:sz w:val="28"/>
          <w:szCs w:val="28"/>
        </w:rPr>
        <w:t>201</w:t>
      </w:r>
      <w:r>
        <w:rPr>
          <w:rFonts w:hint="eastAsia" w:ascii="Times New Roman" w:hAnsi="Times New Roman" w:cs="Times New Roman"/>
          <w:sz w:val="28"/>
          <w:szCs w:val="28"/>
        </w:rPr>
        <w:t>8</w:t>
      </w:r>
      <w:r>
        <w:rPr>
          <w:rFonts w:hint="eastAsia" w:hAnsi="Times New Roman"/>
          <w:sz w:val="28"/>
          <w:szCs w:val="28"/>
        </w:rPr>
        <w:t>届毕业生对任课教师总体的满意度为</w:t>
      </w:r>
      <w:r>
        <w:rPr>
          <w:rFonts w:ascii="Times New Roman" w:hAnsi="Times New Roman" w:cs="Times New Roman"/>
          <w:sz w:val="28"/>
          <w:szCs w:val="28"/>
        </w:rPr>
        <w:t>9</w:t>
      </w:r>
      <w:r>
        <w:rPr>
          <w:rFonts w:hint="eastAsia" w:ascii="Times New Roman" w:hAnsi="Times New Roman" w:cs="Times New Roman"/>
          <w:sz w:val="28"/>
          <w:szCs w:val="28"/>
        </w:rPr>
        <w:t>5</w:t>
      </w:r>
      <w:r>
        <w:rPr>
          <w:rFonts w:ascii="Times New Roman" w:hAnsi="Times New Roman" w:cs="Times New Roman"/>
          <w:sz w:val="28"/>
          <w:szCs w:val="28"/>
        </w:rPr>
        <w:t>.</w:t>
      </w:r>
      <w:r>
        <w:rPr>
          <w:rFonts w:hint="eastAsia" w:ascii="Times New Roman" w:hAnsi="Times New Roman" w:cs="Times New Roman"/>
          <w:sz w:val="28"/>
          <w:szCs w:val="28"/>
        </w:rPr>
        <w:t>99</w:t>
      </w:r>
      <w:r>
        <w:rPr>
          <w:rFonts w:ascii="Times New Roman" w:hAnsi="Times New Roman" w:cs="Times New Roman"/>
          <w:sz w:val="28"/>
          <w:szCs w:val="28"/>
        </w:rPr>
        <w:t>%</w:t>
      </w:r>
      <w:r>
        <w:rPr>
          <w:rFonts w:hint="eastAsia" w:hAnsi="Times New Roman"/>
          <w:sz w:val="28"/>
          <w:szCs w:val="28"/>
        </w:rPr>
        <w:t>，均值为</w:t>
      </w:r>
      <w:r>
        <w:rPr>
          <w:rFonts w:ascii="Times New Roman" w:hAnsi="Times New Roman" w:cs="Times New Roman"/>
          <w:sz w:val="28"/>
          <w:szCs w:val="28"/>
        </w:rPr>
        <w:t>4.</w:t>
      </w:r>
      <w:r>
        <w:rPr>
          <w:rFonts w:hint="eastAsia" w:ascii="Times New Roman" w:hAnsi="Times New Roman" w:cs="Times New Roman"/>
          <w:sz w:val="28"/>
          <w:szCs w:val="28"/>
        </w:rPr>
        <w:t>02</w:t>
      </w:r>
      <w:r>
        <w:rPr>
          <w:rFonts w:hint="eastAsia" w:hAnsi="Times New Roman"/>
          <w:sz w:val="28"/>
          <w:szCs w:val="28"/>
        </w:rPr>
        <w:t>分（</w:t>
      </w:r>
      <w:r>
        <w:rPr>
          <w:rFonts w:ascii="Times New Roman" w:hAnsi="Times New Roman" w:cs="Times New Roman"/>
          <w:sz w:val="28"/>
          <w:szCs w:val="28"/>
        </w:rPr>
        <w:t>5</w:t>
      </w:r>
      <w:r>
        <w:rPr>
          <w:rFonts w:hint="eastAsia" w:hAnsi="Times New Roman"/>
          <w:sz w:val="28"/>
          <w:szCs w:val="28"/>
        </w:rPr>
        <w:t>分制），处于</w:t>
      </w:r>
      <w:r>
        <w:rPr>
          <w:rFonts w:hAnsi="Times New Roman"/>
          <w:sz w:val="28"/>
          <w:szCs w:val="28"/>
        </w:rPr>
        <w:t>“</w:t>
      </w:r>
      <w:r>
        <w:rPr>
          <w:rFonts w:hint="eastAsia" w:hAnsi="Times New Roman"/>
          <w:sz w:val="28"/>
          <w:szCs w:val="28"/>
        </w:rPr>
        <w:t>比较满意</w:t>
      </w:r>
      <w:r>
        <w:rPr>
          <w:rFonts w:hAnsi="Times New Roman"/>
          <w:sz w:val="28"/>
          <w:szCs w:val="28"/>
        </w:rPr>
        <w:t>”</w:t>
      </w:r>
      <w:r>
        <w:rPr>
          <w:rFonts w:hint="eastAsia" w:hAnsi="Times New Roman"/>
          <w:sz w:val="28"/>
          <w:szCs w:val="28"/>
        </w:rPr>
        <w:t>水平；其中，对任课教师教学态度的满意度为</w:t>
      </w:r>
      <w:r>
        <w:rPr>
          <w:rFonts w:ascii="Times New Roman" w:hAnsi="Times New Roman" w:cs="Times New Roman"/>
          <w:sz w:val="28"/>
          <w:szCs w:val="28"/>
        </w:rPr>
        <w:t>9</w:t>
      </w:r>
      <w:r>
        <w:rPr>
          <w:rFonts w:hint="eastAsia" w:ascii="Times New Roman" w:hAnsi="Times New Roman" w:cs="Times New Roman"/>
          <w:sz w:val="28"/>
          <w:szCs w:val="28"/>
        </w:rPr>
        <w:t>6.94</w:t>
      </w:r>
      <w:r>
        <w:rPr>
          <w:rFonts w:ascii="Times New Roman" w:hAnsi="Times New Roman" w:cs="Times New Roman"/>
          <w:sz w:val="28"/>
          <w:szCs w:val="28"/>
        </w:rPr>
        <w:t>%</w:t>
      </w:r>
      <w:r>
        <w:rPr>
          <w:rFonts w:hint="eastAsia" w:hAnsi="Times New Roman"/>
          <w:sz w:val="28"/>
          <w:szCs w:val="28"/>
        </w:rPr>
        <w:t>；对任课教师教学水平的满意度为</w:t>
      </w:r>
      <w:r>
        <w:rPr>
          <w:rFonts w:hint="eastAsia" w:ascii="Times New Roman" w:hAnsi="Times New Roman" w:cs="Times New Roman"/>
          <w:sz w:val="28"/>
          <w:szCs w:val="28"/>
        </w:rPr>
        <w:t>96.94</w:t>
      </w:r>
      <w:r>
        <w:rPr>
          <w:rFonts w:ascii="Times New Roman" w:hAnsi="Times New Roman" w:cs="Times New Roman"/>
          <w:sz w:val="28"/>
          <w:szCs w:val="28"/>
        </w:rPr>
        <w:t>%</w:t>
      </w:r>
      <w:r>
        <w:rPr>
          <w:rFonts w:hint="eastAsia" w:hAnsi="Times New Roman"/>
          <w:sz w:val="28"/>
          <w:szCs w:val="28"/>
        </w:rPr>
        <w:t>；对师生课外沟通交流的满意度为</w:t>
      </w:r>
      <w:r>
        <w:rPr>
          <w:rFonts w:ascii="Times New Roman" w:hAnsi="Times New Roman" w:cs="Times New Roman"/>
          <w:sz w:val="28"/>
          <w:szCs w:val="28"/>
        </w:rPr>
        <w:t>9</w:t>
      </w:r>
      <w:r>
        <w:rPr>
          <w:rFonts w:hint="eastAsia" w:ascii="Times New Roman" w:hAnsi="Times New Roman" w:cs="Times New Roman"/>
          <w:sz w:val="28"/>
          <w:szCs w:val="28"/>
        </w:rPr>
        <w:t>4.10</w:t>
      </w:r>
      <w:r>
        <w:rPr>
          <w:rFonts w:ascii="Times New Roman" w:hAnsi="Times New Roman" w:cs="Times New Roman"/>
          <w:sz w:val="28"/>
          <w:szCs w:val="28"/>
        </w:rPr>
        <w:t>%</w:t>
      </w:r>
      <w:r>
        <w:rPr>
          <w:rFonts w:hint="eastAsia" w:hAnsi="Times New Roman"/>
          <w:sz w:val="28"/>
          <w:szCs w:val="28"/>
        </w:rPr>
        <w:t>。</w:t>
      </w:r>
    </w:p>
    <w:p>
      <w:r>
        <w:drawing>
          <wp:inline distT="0" distB="0" distL="0" distR="0">
            <wp:extent cx="5765800" cy="3168650"/>
            <wp:effectExtent l="0" t="0" r="25400" b="1270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widowControl w:val="0"/>
        <w:autoSpaceDE w:val="0"/>
        <w:autoSpaceDN w:val="0"/>
        <w:adjustRightInd w:val="0"/>
        <w:jc w:val="center"/>
        <w:rPr>
          <w:rFonts w:ascii="黑体" w:hAnsi="Times New Roman" w:eastAsia="黑体" w:cs="黑体"/>
          <w:color w:val="000000"/>
        </w:rPr>
      </w:pPr>
      <w:r>
        <w:rPr>
          <w:rFonts w:hint="eastAsia" w:ascii="黑体" w:eastAsia="黑体" w:cs="黑体"/>
          <w:color w:val="000000"/>
        </w:rPr>
        <w:t>图</w:t>
      </w:r>
      <w:r>
        <w:rPr>
          <w:rFonts w:hint="eastAsia" w:ascii="Times New Roman" w:hAnsi="Times New Roman" w:eastAsia="黑体" w:cs="Times New Roman"/>
          <w:b/>
          <w:bCs/>
          <w:color w:val="000000"/>
        </w:rPr>
        <w:t>5</w:t>
      </w:r>
      <w:r>
        <w:rPr>
          <w:rFonts w:ascii="Times New Roman" w:hAnsi="Times New Roman" w:eastAsia="黑体" w:cs="Times New Roman"/>
          <w:b/>
          <w:bCs/>
          <w:color w:val="000000"/>
        </w:rPr>
        <w:t xml:space="preserve">- </w:t>
      </w:r>
      <w:r>
        <w:rPr>
          <w:rFonts w:hint="eastAsia" w:ascii="Times New Roman" w:hAnsi="Times New Roman" w:eastAsia="黑体" w:cs="Times New Roman"/>
          <w:b/>
          <w:bCs/>
          <w:color w:val="000000"/>
        </w:rPr>
        <w:t>5</w:t>
      </w:r>
      <w:r>
        <w:rPr>
          <w:rFonts w:ascii="Times New Roman" w:hAnsi="Times New Roman" w:eastAsia="黑体" w:cs="Times New Roman"/>
          <w:b/>
          <w:bCs/>
          <w:color w:val="000000"/>
        </w:rPr>
        <w:t xml:space="preserve"> </w:t>
      </w:r>
      <w:r>
        <w:rPr>
          <w:rFonts w:hint="eastAsia" w:ascii="Times New Roman" w:hAnsi="Times New Roman" w:eastAsia="黑体" w:cs="Times New Roman"/>
          <w:b/>
          <w:bCs/>
          <w:color w:val="000000"/>
        </w:rPr>
        <w:t xml:space="preserve"> </w:t>
      </w:r>
      <w:r>
        <w:rPr>
          <w:rFonts w:ascii="Times New Roman" w:hAnsi="Times New Roman" w:eastAsia="黑体" w:cs="Times New Roman"/>
          <w:b/>
          <w:bCs/>
          <w:color w:val="000000"/>
        </w:rPr>
        <w:t>201</w:t>
      </w:r>
      <w:r>
        <w:rPr>
          <w:rFonts w:hint="eastAsia" w:ascii="Times New Roman" w:hAnsi="Times New Roman" w:eastAsia="黑体" w:cs="Times New Roman"/>
          <w:b/>
          <w:bCs/>
          <w:color w:val="000000"/>
        </w:rPr>
        <w:t>8</w:t>
      </w:r>
      <w:r>
        <w:rPr>
          <w:rFonts w:hint="eastAsia" w:ascii="黑体" w:hAnsi="Times New Roman" w:eastAsia="黑体" w:cs="黑体"/>
          <w:color w:val="000000"/>
        </w:rPr>
        <w:t>届毕业生对任课教师的满意度</w:t>
      </w:r>
    </w:p>
    <w:p>
      <w:pPr>
        <w:widowControl w:val="0"/>
        <w:autoSpaceDE w:val="0"/>
        <w:autoSpaceDN w:val="0"/>
        <w:adjustRightInd w:val="0"/>
        <w:rPr>
          <w:rFonts w:ascii="宋体" w:hAnsi="Times New Roman" w:eastAsia="宋体" w:cs="宋体"/>
          <w:color w:val="000000"/>
          <w:sz w:val="20"/>
          <w:szCs w:val="20"/>
        </w:rPr>
      </w:pPr>
      <w:r>
        <w:rPr>
          <w:rFonts w:hint="eastAsia" w:ascii="宋体" w:hAnsi="Times New Roman" w:eastAsia="宋体" w:cs="宋体"/>
          <w:color w:val="000000"/>
          <w:sz w:val="20"/>
          <w:szCs w:val="20"/>
        </w:rPr>
        <w:t>注：评价维度包括</w:t>
      </w:r>
      <w:r>
        <w:rPr>
          <w:rFonts w:ascii="宋体" w:hAnsi="Times New Roman" w:eastAsia="宋体" w:cs="宋体"/>
          <w:color w:val="000000"/>
          <w:sz w:val="20"/>
          <w:szCs w:val="20"/>
        </w:rPr>
        <w:t>“</w:t>
      </w:r>
      <w:r>
        <w:rPr>
          <w:rFonts w:hint="eastAsia" w:ascii="宋体" w:hAnsi="Times New Roman" w:eastAsia="宋体" w:cs="宋体"/>
          <w:color w:val="000000"/>
          <w:sz w:val="20"/>
          <w:szCs w:val="20"/>
        </w:rPr>
        <w:t>很不满意、比较不满意、一般、比较满意和非常满意</w:t>
      </w:r>
      <w:r>
        <w:rPr>
          <w:rFonts w:ascii="宋体" w:hAnsi="Times New Roman" w:eastAsia="宋体" w:cs="宋体"/>
          <w:color w:val="000000"/>
          <w:sz w:val="20"/>
          <w:szCs w:val="20"/>
        </w:rPr>
        <w:t>”</w:t>
      </w:r>
      <w:r>
        <w:rPr>
          <w:rFonts w:hint="eastAsia" w:ascii="宋体" w:hAnsi="Times New Roman" w:eastAsia="宋体" w:cs="宋体"/>
          <w:color w:val="000000"/>
          <w:sz w:val="20"/>
          <w:szCs w:val="20"/>
        </w:rPr>
        <w:t>；其中，满意度为选择</w:t>
      </w:r>
      <w:r>
        <w:rPr>
          <w:rFonts w:ascii="宋体" w:hAnsi="Times New Roman" w:eastAsia="宋体" w:cs="宋体"/>
          <w:color w:val="000000"/>
          <w:sz w:val="20"/>
          <w:szCs w:val="20"/>
        </w:rPr>
        <w:t>“</w:t>
      </w:r>
      <w:r>
        <w:rPr>
          <w:rFonts w:hint="eastAsia" w:ascii="宋体" w:hAnsi="Times New Roman" w:eastAsia="宋体" w:cs="宋体"/>
          <w:color w:val="000000"/>
          <w:sz w:val="20"/>
          <w:szCs w:val="20"/>
        </w:rPr>
        <w:t>非常满意</w:t>
      </w:r>
      <w:r>
        <w:rPr>
          <w:rFonts w:ascii="宋体" w:hAnsi="Times New Roman" w:eastAsia="宋体" w:cs="宋体"/>
          <w:color w:val="000000"/>
          <w:sz w:val="20"/>
          <w:szCs w:val="20"/>
        </w:rPr>
        <w:t>”</w:t>
      </w:r>
      <w:r>
        <w:rPr>
          <w:rFonts w:hint="eastAsia" w:ascii="宋体" w:hAnsi="Times New Roman" w:eastAsia="宋体" w:cs="宋体"/>
          <w:color w:val="000000"/>
          <w:sz w:val="20"/>
          <w:szCs w:val="20"/>
        </w:rPr>
        <w:t>、</w:t>
      </w:r>
      <w:r>
        <w:rPr>
          <w:rFonts w:ascii="宋体" w:hAnsi="Times New Roman" w:eastAsia="宋体" w:cs="宋体"/>
          <w:color w:val="000000"/>
          <w:sz w:val="20"/>
          <w:szCs w:val="20"/>
        </w:rPr>
        <w:t>“</w:t>
      </w:r>
      <w:r>
        <w:rPr>
          <w:rFonts w:hint="eastAsia" w:ascii="宋体" w:hAnsi="Times New Roman" w:eastAsia="宋体" w:cs="宋体"/>
          <w:color w:val="000000"/>
          <w:sz w:val="20"/>
          <w:szCs w:val="20"/>
        </w:rPr>
        <w:t>比较满意</w:t>
      </w:r>
      <w:r>
        <w:rPr>
          <w:rFonts w:ascii="宋体" w:hAnsi="Times New Roman" w:eastAsia="宋体" w:cs="宋体"/>
          <w:color w:val="000000"/>
          <w:sz w:val="20"/>
          <w:szCs w:val="20"/>
        </w:rPr>
        <w:t>”</w:t>
      </w:r>
      <w:r>
        <w:rPr>
          <w:rFonts w:hint="eastAsia" w:ascii="宋体" w:hAnsi="Times New Roman" w:eastAsia="宋体" w:cs="宋体"/>
          <w:color w:val="000000"/>
          <w:sz w:val="20"/>
          <w:szCs w:val="20"/>
        </w:rPr>
        <w:t>和</w:t>
      </w:r>
      <w:r>
        <w:rPr>
          <w:rFonts w:ascii="宋体" w:hAnsi="Times New Roman" w:eastAsia="宋体" w:cs="宋体"/>
          <w:color w:val="000000"/>
          <w:sz w:val="20"/>
          <w:szCs w:val="20"/>
        </w:rPr>
        <w:t>“</w:t>
      </w:r>
      <w:r>
        <w:rPr>
          <w:rFonts w:hint="eastAsia" w:ascii="宋体" w:hAnsi="Times New Roman" w:eastAsia="宋体" w:cs="宋体"/>
          <w:color w:val="000000"/>
          <w:sz w:val="20"/>
          <w:szCs w:val="20"/>
        </w:rPr>
        <w:t>一般</w:t>
      </w:r>
      <w:r>
        <w:rPr>
          <w:rFonts w:ascii="宋体" w:hAnsi="Times New Roman" w:eastAsia="宋体" w:cs="宋体"/>
          <w:color w:val="000000"/>
          <w:sz w:val="20"/>
          <w:szCs w:val="20"/>
        </w:rPr>
        <w:t>”</w:t>
      </w:r>
      <w:r>
        <w:rPr>
          <w:rFonts w:hint="eastAsia" w:ascii="宋体" w:hAnsi="Times New Roman" w:eastAsia="宋体" w:cs="宋体"/>
          <w:color w:val="000000"/>
          <w:sz w:val="20"/>
          <w:szCs w:val="20"/>
        </w:rPr>
        <w:t>的人数占此题总人数的比例。另外针对毕业生的反馈分别赋予</w:t>
      </w:r>
      <w:r>
        <w:rPr>
          <w:rFonts w:ascii="宋体" w:hAnsi="Times New Roman" w:eastAsia="宋体" w:cs="宋体"/>
          <w:color w:val="000000"/>
          <w:sz w:val="20"/>
          <w:szCs w:val="20"/>
        </w:rPr>
        <w:t>1-5</w:t>
      </w:r>
      <w:r>
        <w:rPr>
          <w:rFonts w:hint="eastAsia" w:ascii="宋体" w:hAnsi="Times New Roman" w:eastAsia="宋体" w:cs="宋体"/>
          <w:color w:val="000000"/>
          <w:sz w:val="20"/>
          <w:szCs w:val="20"/>
        </w:rPr>
        <w:t>分（</w:t>
      </w:r>
      <w:r>
        <w:rPr>
          <w:rFonts w:ascii="宋体" w:hAnsi="Times New Roman" w:eastAsia="宋体" w:cs="宋体"/>
          <w:color w:val="000000"/>
          <w:sz w:val="20"/>
          <w:szCs w:val="20"/>
        </w:rPr>
        <w:t>“</w:t>
      </w:r>
      <w:r>
        <w:rPr>
          <w:rFonts w:hint="eastAsia" w:ascii="宋体" w:hAnsi="Times New Roman" w:eastAsia="宋体" w:cs="宋体"/>
          <w:color w:val="000000"/>
          <w:sz w:val="20"/>
          <w:szCs w:val="20"/>
        </w:rPr>
        <w:t>非常满意</w:t>
      </w:r>
      <w:r>
        <w:rPr>
          <w:rFonts w:ascii="宋体" w:hAnsi="Times New Roman" w:eastAsia="宋体" w:cs="宋体"/>
          <w:color w:val="000000"/>
          <w:sz w:val="20"/>
          <w:szCs w:val="20"/>
        </w:rPr>
        <w:t>”=5</w:t>
      </w:r>
      <w:r>
        <w:rPr>
          <w:rFonts w:hint="eastAsia" w:ascii="宋体" w:hAnsi="Times New Roman" w:eastAsia="宋体" w:cs="宋体"/>
          <w:color w:val="000000"/>
          <w:sz w:val="20"/>
          <w:szCs w:val="20"/>
        </w:rPr>
        <w:t>分，</w:t>
      </w:r>
      <w:r>
        <w:rPr>
          <w:rFonts w:ascii="宋体" w:hAnsi="Times New Roman" w:eastAsia="宋体" w:cs="宋体"/>
          <w:color w:val="000000"/>
          <w:sz w:val="20"/>
          <w:szCs w:val="20"/>
        </w:rPr>
        <w:t>“</w:t>
      </w:r>
      <w:r>
        <w:rPr>
          <w:rFonts w:hint="eastAsia" w:ascii="宋体" w:hAnsi="Times New Roman" w:eastAsia="宋体" w:cs="宋体"/>
          <w:color w:val="000000"/>
          <w:sz w:val="20"/>
          <w:szCs w:val="20"/>
        </w:rPr>
        <w:t>很不满意</w:t>
      </w:r>
      <w:r>
        <w:rPr>
          <w:rFonts w:ascii="宋体" w:hAnsi="Times New Roman" w:eastAsia="宋体" w:cs="宋体"/>
          <w:color w:val="000000"/>
          <w:sz w:val="20"/>
          <w:szCs w:val="20"/>
        </w:rPr>
        <w:t>”=1</w:t>
      </w:r>
      <w:r>
        <w:rPr>
          <w:rFonts w:hint="eastAsia" w:ascii="宋体" w:hAnsi="Times New Roman" w:eastAsia="宋体" w:cs="宋体"/>
          <w:color w:val="000000"/>
          <w:sz w:val="20"/>
          <w:szCs w:val="20"/>
        </w:rPr>
        <w:t>分），计算其均值。</w:t>
      </w:r>
      <w:r>
        <w:rPr>
          <w:rFonts w:ascii="宋体" w:hAnsi="Times New Roman" w:eastAsia="宋体" w:cs="宋体"/>
          <w:color w:val="000000"/>
          <w:sz w:val="20"/>
          <w:szCs w:val="20"/>
        </w:rPr>
        <w:t xml:space="preserve"> </w:t>
      </w:r>
    </w:p>
    <w:p>
      <w:pPr>
        <w:rPr>
          <w:sz w:val="20"/>
          <w:szCs w:val="20"/>
        </w:rPr>
      </w:pPr>
      <w:r>
        <w:rPr>
          <w:rFonts w:hint="eastAsia" w:ascii="宋体" w:hAnsi="Times New Roman" w:eastAsia="宋体" w:cs="宋体"/>
          <w:color w:val="000000"/>
          <w:sz w:val="20"/>
          <w:szCs w:val="20"/>
        </w:rPr>
        <w:t>数据来源：第三方机构成都泽奥</w:t>
      </w:r>
      <w:r>
        <w:rPr>
          <w:rFonts w:ascii="宋体" w:hAnsi="Times New Roman" w:eastAsia="宋体" w:cs="宋体"/>
          <w:color w:val="000000"/>
          <w:sz w:val="20"/>
          <w:szCs w:val="20"/>
        </w:rPr>
        <w:t>-201</w:t>
      </w:r>
      <w:r>
        <w:rPr>
          <w:rFonts w:hint="eastAsia" w:ascii="宋体" w:hAnsi="Times New Roman" w:eastAsia="宋体" w:cs="宋体"/>
          <w:color w:val="000000"/>
          <w:sz w:val="20"/>
          <w:szCs w:val="20"/>
        </w:rPr>
        <w:t>8届毕业生就业与培养质量调查。</w:t>
      </w:r>
    </w:p>
    <w:p>
      <w:pPr>
        <w:spacing w:line="360" w:lineRule="auto"/>
        <w:ind w:firstLine="551" w:firstLineChars="196"/>
        <w:rPr>
          <w:rFonts w:ascii="宋体" w:hAnsi="宋体" w:cs="宋体"/>
          <w:sz w:val="28"/>
          <w:szCs w:val="28"/>
        </w:rPr>
      </w:pPr>
      <w:r>
        <w:rPr>
          <w:rFonts w:hint="eastAsia"/>
          <w:b/>
          <w:sz w:val="28"/>
          <w:szCs w:val="28"/>
        </w:rPr>
        <w:t>工作能力的满足度</w:t>
      </w:r>
      <w:r>
        <w:rPr>
          <w:rFonts w:hint="eastAsia"/>
          <w:sz w:val="28"/>
          <w:szCs w:val="28"/>
        </w:rPr>
        <w:t>：对于目前工作需求而言，学校</w:t>
      </w:r>
      <w:r>
        <w:rPr>
          <w:rFonts w:ascii="Times New Roman" w:hAnsi="Times New Roman" w:cs="Times New Roman"/>
          <w:sz w:val="28"/>
          <w:szCs w:val="28"/>
        </w:rPr>
        <w:t>201</w:t>
      </w:r>
      <w:r>
        <w:rPr>
          <w:rFonts w:hint="eastAsia" w:ascii="Times New Roman" w:hAnsi="Times New Roman" w:cs="Times New Roman"/>
          <w:sz w:val="28"/>
          <w:szCs w:val="28"/>
        </w:rPr>
        <w:t>8</w:t>
      </w:r>
      <w:r>
        <w:rPr>
          <w:rFonts w:hint="eastAsia" w:hAnsi="Times New Roman"/>
          <w:sz w:val="28"/>
          <w:szCs w:val="28"/>
        </w:rPr>
        <w:t>届毕业生认为重要性排名前十位的能力依次为：口头表达、服务他人、倾听理解、团队协作、发现和解决复杂问题、信息搜集与获取、情绪感知、逻辑推理、选择教学</w:t>
      </w:r>
      <w:r>
        <w:rPr>
          <w:rFonts w:ascii="Times New Roman" w:hAnsi="Times New Roman" w:cs="Times New Roman"/>
          <w:sz w:val="28"/>
          <w:szCs w:val="28"/>
        </w:rPr>
        <w:t>/</w:t>
      </w:r>
      <w:r>
        <w:rPr>
          <w:rFonts w:hint="eastAsia" w:hAnsi="Times New Roman"/>
          <w:sz w:val="28"/>
          <w:szCs w:val="28"/>
        </w:rPr>
        <w:t>学习方法、阅读理解。而自身这十项能力满足目前工作需求的程度如下图所示：均在</w:t>
      </w:r>
      <w:r>
        <w:rPr>
          <w:rFonts w:hint="eastAsia" w:ascii="Times New Roman" w:hAnsi="Times New Roman" w:cs="Times New Roman"/>
          <w:sz w:val="28"/>
          <w:szCs w:val="28"/>
        </w:rPr>
        <w:t>90</w:t>
      </w:r>
      <w:r>
        <w:rPr>
          <w:rFonts w:ascii="Times New Roman" w:hAnsi="Times New Roman" w:cs="Times New Roman"/>
          <w:sz w:val="28"/>
          <w:szCs w:val="28"/>
        </w:rPr>
        <w:t>.00%</w:t>
      </w:r>
      <w:r>
        <w:rPr>
          <w:rFonts w:hint="eastAsia" w:hAnsi="Times New Roman"/>
          <w:sz w:val="28"/>
          <w:szCs w:val="28"/>
        </w:rPr>
        <w:t>以上，满足程度处于相对较高水平；其中服务他人、倾听理解和团队协作的满足度相对较高，分别为</w:t>
      </w:r>
      <w:r>
        <w:rPr>
          <w:rFonts w:hint="eastAsia" w:ascii="Times New Roman" w:hAnsi="Times New Roman" w:cs="Times New Roman"/>
          <w:sz w:val="28"/>
          <w:szCs w:val="28"/>
        </w:rPr>
        <w:t>98.22</w:t>
      </w:r>
      <w:r>
        <w:rPr>
          <w:rFonts w:ascii="Times New Roman" w:hAnsi="Times New Roman" w:cs="Times New Roman"/>
          <w:sz w:val="28"/>
          <w:szCs w:val="28"/>
        </w:rPr>
        <w:t>%</w:t>
      </w:r>
      <w:r>
        <w:rPr>
          <w:rFonts w:hint="eastAsia" w:hAnsi="Times New Roman"/>
          <w:sz w:val="28"/>
          <w:szCs w:val="28"/>
        </w:rPr>
        <w:t>、</w:t>
      </w:r>
      <w:r>
        <w:rPr>
          <w:rFonts w:ascii="Times New Roman" w:hAnsi="Times New Roman" w:cs="Times New Roman"/>
          <w:sz w:val="28"/>
          <w:szCs w:val="28"/>
        </w:rPr>
        <w:t>9</w:t>
      </w:r>
      <w:r>
        <w:rPr>
          <w:rFonts w:hint="eastAsia" w:ascii="Times New Roman" w:hAnsi="Times New Roman" w:cs="Times New Roman"/>
          <w:sz w:val="28"/>
          <w:szCs w:val="28"/>
        </w:rPr>
        <w:t>8.12</w:t>
      </w:r>
      <w:r>
        <w:rPr>
          <w:rFonts w:ascii="Times New Roman" w:hAnsi="Times New Roman" w:cs="Times New Roman"/>
          <w:sz w:val="28"/>
          <w:szCs w:val="28"/>
        </w:rPr>
        <w:t>%</w:t>
      </w:r>
      <w:r>
        <w:rPr>
          <w:rFonts w:hint="eastAsia" w:hAnsi="Times New Roman"/>
          <w:sz w:val="28"/>
          <w:szCs w:val="28"/>
        </w:rPr>
        <w:t>和</w:t>
      </w:r>
      <w:r>
        <w:rPr>
          <w:rFonts w:ascii="Times New Roman" w:hAnsi="Times New Roman" w:cs="Times New Roman"/>
          <w:sz w:val="28"/>
          <w:szCs w:val="28"/>
        </w:rPr>
        <w:t>9</w:t>
      </w:r>
      <w:r>
        <w:rPr>
          <w:rFonts w:hint="eastAsia" w:ascii="Times New Roman" w:hAnsi="Times New Roman" w:cs="Times New Roman"/>
          <w:sz w:val="28"/>
          <w:szCs w:val="28"/>
        </w:rPr>
        <w:t>8.06</w:t>
      </w:r>
      <w:r>
        <w:rPr>
          <w:rFonts w:ascii="Times New Roman" w:hAnsi="Times New Roman" w:cs="Times New Roman"/>
          <w:sz w:val="28"/>
          <w:szCs w:val="28"/>
        </w:rPr>
        <w:t>%</w:t>
      </w:r>
      <w:r>
        <w:rPr>
          <w:rFonts w:hint="eastAsia" w:hAnsi="Times New Roman"/>
          <w:sz w:val="28"/>
          <w:szCs w:val="28"/>
        </w:rPr>
        <w:t>。</w:t>
      </w:r>
    </w:p>
    <w:p>
      <w:pPr>
        <w:jc w:val="center"/>
        <w:rPr>
          <w:rFonts w:ascii="宋体" w:hAnsi="宋体" w:cs="宋体"/>
        </w:rPr>
      </w:pPr>
      <w:r>
        <w:drawing>
          <wp:inline distT="0" distB="0" distL="0" distR="0">
            <wp:extent cx="4572000" cy="2743200"/>
            <wp:effectExtent l="0" t="0" r="19050" b="19050"/>
            <wp:docPr id="293" name="图表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widowControl w:val="0"/>
        <w:autoSpaceDE w:val="0"/>
        <w:autoSpaceDN w:val="0"/>
        <w:adjustRightInd w:val="0"/>
        <w:jc w:val="center"/>
        <w:rPr>
          <w:rFonts w:ascii="黑体" w:hAnsi="Times New Roman" w:eastAsia="黑体" w:cs="黑体"/>
          <w:color w:val="000000"/>
        </w:rPr>
      </w:pPr>
      <w:r>
        <w:rPr>
          <w:rFonts w:hint="eastAsia" w:ascii="黑体" w:eastAsia="黑体" w:cs="黑体"/>
          <w:color w:val="000000"/>
        </w:rPr>
        <w:t>图</w:t>
      </w:r>
      <w:r>
        <w:rPr>
          <w:rFonts w:hint="eastAsia" w:ascii="Times New Roman" w:hAnsi="Times New Roman" w:eastAsia="黑体" w:cs="Times New Roman"/>
          <w:b/>
          <w:bCs/>
          <w:color w:val="000000"/>
        </w:rPr>
        <w:t>5</w:t>
      </w:r>
      <w:r>
        <w:rPr>
          <w:rFonts w:ascii="Times New Roman" w:hAnsi="Times New Roman" w:eastAsia="黑体" w:cs="Times New Roman"/>
          <w:b/>
          <w:bCs/>
          <w:color w:val="000000"/>
        </w:rPr>
        <w:t xml:space="preserve">- </w:t>
      </w:r>
      <w:r>
        <w:rPr>
          <w:rFonts w:hint="eastAsia" w:ascii="Times New Roman" w:hAnsi="Times New Roman" w:eastAsia="黑体" w:cs="Times New Roman"/>
          <w:b/>
          <w:bCs/>
          <w:color w:val="000000"/>
        </w:rPr>
        <w:t xml:space="preserve">6   </w:t>
      </w:r>
      <w:r>
        <w:rPr>
          <w:rFonts w:ascii="Times New Roman" w:hAnsi="Times New Roman" w:eastAsia="黑体" w:cs="Times New Roman"/>
          <w:b/>
          <w:bCs/>
          <w:color w:val="000000"/>
        </w:rPr>
        <w:t>201</w:t>
      </w:r>
      <w:r>
        <w:rPr>
          <w:rFonts w:hint="eastAsia" w:ascii="Times New Roman" w:hAnsi="Times New Roman" w:eastAsia="黑体" w:cs="Times New Roman"/>
          <w:b/>
          <w:bCs/>
          <w:color w:val="000000"/>
        </w:rPr>
        <w:t>8</w:t>
      </w:r>
      <w:r>
        <w:rPr>
          <w:rFonts w:hint="eastAsia" w:ascii="黑体" w:hAnsi="Times New Roman" w:eastAsia="黑体" w:cs="黑体"/>
          <w:color w:val="000000"/>
        </w:rPr>
        <w:t>届毕业生工作能力的满足度</w:t>
      </w:r>
    </w:p>
    <w:p>
      <w:pPr>
        <w:rPr>
          <w:sz w:val="20"/>
          <w:szCs w:val="20"/>
        </w:rPr>
      </w:pPr>
      <w:r>
        <w:rPr>
          <w:rFonts w:hint="eastAsia" w:ascii="宋体" w:hAnsi="Times New Roman" w:eastAsia="宋体" w:cs="宋体"/>
          <w:color w:val="000000"/>
          <w:sz w:val="20"/>
          <w:szCs w:val="20"/>
        </w:rPr>
        <w:t>数据来源：第三方机构成都泽奥</w:t>
      </w:r>
      <w:r>
        <w:rPr>
          <w:rFonts w:ascii="宋体" w:hAnsi="Times New Roman" w:eastAsia="宋体" w:cs="宋体"/>
          <w:color w:val="000000"/>
          <w:sz w:val="20"/>
          <w:szCs w:val="20"/>
        </w:rPr>
        <w:t>-201</w:t>
      </w:r>
      <w:r>
        <w:rPr>
          <w:rFonts w:hint="eastAsia" w:ascii="宋体" w:hAnsi="Times New Roman" w:eastAsia="宋体" w:cs="宋体"/>
          <w:color w:val="000000"/>
          <w:sz w:val="20"/>
          <w:szCs w:val="20"/>
        </w:rPr>
        <w:t>8届毕业生就业与培养质量调查。</w:t>
      </w:r>
    </w:p>
    <w:p>
      <w:pPr>
        <w:pStyle w:val="4"/>
      </w:pPr>
      <w:bookmarkStart w:id="41" w:name="_Toc533510661"/>
      <w:r>
        <w:rPr>
          <w:rFonts w:hint="eastAsia"/>
        </w:rPr>
        <w:t>（二）人才培养改进措施</w:t>
      </w:r>
      <w:bookmarkEnd w:id="41"/>
      <w:r>
        <w:t xml:space="preserve"> </w:t>
      </w:r>
    </w:p>
    <w:p>
      <w:pPr>
        <w:widowControl w:val="0"/>
        <w:autoSpaceDE w:val="0"/>
        <w:autoSpaceDN w:val="0"/>
        <w:adjustRightInd w:val="0"/>
        <w:spacing w:line="360" w:lineRule="auto"/>
        <w:ind w:firstLine="560" w:firstLineChars="200"/>
        <w:rPr>
          <w:rFonts w:ascii="宋体" w:hAnsi="Times New Roman" w:eastAsia="宋体" w:cs="宋体"/>
          <w:color w:val="000000"/>
          <w:sz w:val="28"/>
          <w:szCs w:val="28"/>
        </w:rPr>
      </w:pPr>
      <w:r>
        <w:rPr>
          <w:rFonts w:hint="eastAsia" w:ascii="宋体" w:eastAsia="宋体" w:cs="宋体"/>
          <w:color w:val="000000"/>
          <w:sz w:val="28"/>
          <w:szCs w:val="28"/>
        </w:rPr>
        <w:t>2018届毕业生调查结果显示：</w:t>
      </w:r>
      <w:r>
        <w:rPr>
          <w:rFonts w:ascii="Times New Roman" w:hAnsi="Times New Roman" w:eastAsia="宋体" w:cs="Times New Roman"/>
          <w:color w:val="000000"/>
          <w:sz w:val="28"/>
          <w:szCs w:val="28"/>
        </w:rPr>
        <w:t>201</w:t>
      </w:r>
      <w:r>
        <w:rPr>
          <w:rFonts w:hint="eastAsia" w:ascii="Times New Roman" w:hAnsi="Times New Roman" w:eastAsia="宋体" w:cs="Times New Roman"/>
          <w:color w:val="000000"/>
          <w:sz w:val="28"/>
          <w:szCs w:val="28"/>
        </w:rPr>
        <w:t>8</w:t>
      </w:r>
      <w:r>
        <w:rPr>
          <w:rFonts w:hint="eastAsia" w:ascii="宋体" w:hAnsi="Times New Roman" w:eastAsia="宋体" w:cs="宋体"/>
          <w:color w:val="000000"/>
          <w:sz w:val="28"/>
          <w:szCs w:val="28"/>
        </w:rPr>
        <w:t>届毕业生对母校的满意度达到</w:t>
      </w:r>
      <w:r>
        <w:rPr>
          <w:rFonts w:ascii="Times New Roman" w:hAnsi="Times New Roman" w:eastAsia="宋体" w:cs="Times New Roman"/>
          <w:color w:val="000000"/>
          <w:sz w:val="28"/>
          <w:szCs w:val="28"/>
        </w:rPr>
        <w:t>9</w:t>
      </w:r>
      <w:r>
        <w:rPr>
          <w:rFonts w:hint="eastAsia" w:ascii="Times New Roman" w:hAnsi="Times New Roman" w:eastAsia="宋体" w:cs="Times New Roman"/>
          <w:color w:val="000000"/>
          <w:sz w:val="28"/>
          <w:szCs w:val="28"/>
        </w:rPr>
        <w:t>7.03</w:t>
      </w:r>
      <w:r>
        <w:rPr>
          <w:rFonts w:ascii="Times New Roman" w:hAnsi="Times New Roman" w:eastAsia="宋体" w:cs="Times New Roman"/>
          <w:color w:val="000000"/>
          <w:sz w:val="28"/>
          <w:szCs w:val="28"/>
        </w:rPr>
        <w:t>%</w:t>
      </w:r>
      <w:r>
        <w:rPr>
          <w:rFonts w:hint="eastAsia" w:ascii="宋体" w:hAnsi="Times New Roman" w:eastAsia="宋体" w:cs="宋体"/>
          <w:color w:val="000000"/>
          <w:sz w:val="28"/>
          <w:szCs w:val="28"/>
        </w:rPr>
        <w:t>，</w:t>
      </w:r>
      <w:r>
        <w:rPr>
          <w:rFonts w:ascii="Times New Roman" w:hAnsi="Times New Roman" w:eastAsia="宋体" w:cs="Times New Roman"/>
          <w:color w:val="000000"/>
          <w:sz w:val="28"/>
          <w:szCs w:val="28"/>
        </w:rPr>
        <w:t>6</w:t>
      </w:r>
      <w:r>
        <w:rPr>
          <w:rFonts w:hint="eastAsia" w:ascii="Times New Roman" w:hAnsi="Times New Roman" w:eastAsia="宋体" w:cs="Times New Roman"/>
          <w:color w:val="000000"/>
          <w:sz w:val="28"/>
          <w:szCs w:val="28"/>
        </w:rPr>
        <w:t>7</w:t>
      </w:r>
      <w:r>
        <w:rPr>
          <w:rFonts w:ascii="Times New Roman" w:hAnsi="Times New Roman" w:eastAsia="宋体" w:cs="Times New Roman"/>
          <w:color w:val="000000"/>
          <w:sz w:val="28"/>
          <w:szCs w:val="28"/>
        </w:rPr>
        <w:t>.</w:t>
      </w:r>
      <w:r>
        <w:rPr>
          <w:rFonts w:hint="eastAsia" w:ascii="Times New Roman" w:hAnsi="Times New Roman" w:eastAsia="宋体" w:cs="Times New Roman"/>
          <w:color w:val="000000"/>
          <w:sz w:val="28"/>
          <w:szCs w:val="28"/>
        </w:rPr>
        <w:t>52</w:t>
      </w:r>
      <w:r>
        <w:rPr>
          <w:rFonts w:ascii="Times New Roman" w:hAnsi="Times New Roman" w:eastAsia="宋体" w:cs="Times New Roman"/>
          <w:color w:val="000000"/>
          <w:sz w:val="28"/>
          <w:szCs w:val="28"/>
        </w:rPr>
        <w:t>%</w:t>
      </w:r>
      <w:r>
        <w:rPr>
          <w:rFonts w:hint="eastAsia" w:ascii="宋体" w:hAnsi="Times New Roman" w:eastAsia="宋体" w:cs="宋体"/>
          <w:color w:val="000000"/>
          <w:sz w:val="28"/>
          <w:szCs w:val="28"/>
        </w:rPr>
        <w:t>的毕业生愿意向他人推荐自己的母校；毕业生对母校教育教学的总体满意度为</w:t>
      </w:r>
      <w:r>
        <w:rPr>
          <w:rFonts w:ascii="Times New Roman" w:hAnsi="Times New Roman" w:eastAsia="宋体" w:cs="Times New Roman"/>
          <w:color w:val="000000"/>
          <w:sz w:val="28"/>
          <w:szCs w:val="28"/>
        </w:rPr>
        <w:t>9</w:t>
      </w:r>
      <w:r>
        <w:rPr>
          <w:rFonts w:hint="eastAsia" w:ascii="Times New Roman" w:hAnsi="Times New Roman" w:eastAsia="宋体" w:cs="Times New Roman"/>
          <w:color w:val="000000"/>
          <w:sz w:val="28"/>
          <w:szCs w:val="28"/>
        </w:rPr>
        <w:t>5.99</w:t>
      </w:r>
      <w:r>
        <w:rPr>
          <w:rFonts w:ascii="Times New Roman" w:hAnsi="Times New Roman" w:eastAsia="宋体" w:cs="Times New Roman"/>
          <w:color w:val="000000"/>
          <w:sz w:val="28"/>
          <w:szCs w:val="28"/>
        </w:rPr>
        <w:t>%</w:t>
      </w:r>
      <w:r>
        <w:rPr>
          <w:rFonts w:hint="eastAsia" w:ascii="宋体" w:hAnsi="Times New Roman" w:eastAsia="宋体" w:cs="宋体"/>
          <w:color w:val="000000"/>
          <w:sz w:val="28"/>
          <w:szCs w:val="28"/>
        </w:rPr>
        <w:t>，对母校实践教学环节的满意度为</w:t>
      </w:r>
      <w:r>
        <w:rPr>
          <w:rFonts w:ascii="Times New Roman" w:hAnsi="Times New Roman" w:eastAsia="宋体" w:cs="Times New Roman"/>
          <w:color w:val="000000"/>
          <w:sz w:val="28"/>
          <w:szCs w:val="28"/>
        </w:rPr>
        <w:t>9</w:t>
      </w:r>
      <w:r>
        <w:rPr>
          <w:rFonts w:hint="eastAsia" w:ascii="Times New Roman" w:hAnsi="Times New Roman" w:eastAsia="宋体" w:cs="Times New Roman"/>
          <w:color w:val="000000"/>
          <w:sz w:val="28"/>
          <w:szCs w:val="28"/>
        </w:rPr>
        <w:t>6.44</w:t>
      </w:r>
      <w:r>
        <w:rPr>
          <w:rFonts w:ascii="Times New Roman" w:hAnsi="Times New Roman" w:eastAsia="宋体" w:cs="Times New Roman"/>
          <w:color w:val="000000"/>
          <w:sz w:val="28"/>
          <w:szCs w:val="28"/>
        </w:rPr>
        <w:t>%</w:t>
      </w:r>
      <w:r>
        <w:rPr>
          <w:rFonts w:hint="eastAsia" w:ascii="宋体" w:hAnsi="Times New Roman" w:eastAsia="宋体" w:cs="宋体"/>
          <w:color w:val="000000"/>
          <w:sz w:val="28"/>
          <w:szCs w:val="28"/>
        </w:rPr>
        <w:t>；毕业生对任课教师各方面的满意度均在</w:t>
      </w:r>
      <w:r>
        <w:rPr>
          <w:rFonts w:ascii="Times New Roman" w:hAnsi="Times New Roman" w:eastAsia="宋体" w:cs="Times New Roman"/>
          <w:color w:val="000000"/>
          <w:sz w:val="28"/>
          <w:szCs w:val="28"/>
        </w:rPr>
        <w:t>9</w:t>
      </w:r>
      <w:r>
        <w:rPr>
          <w:rFonts w:hint="eastAsia" w:ascii="Times New Roman" w:hAnsi="Times New Roman" w:eastAsia="宋体" w:cs="Times New Roman"/>
          <w:color w:val="000000"/>
          <w:sz w:val="28"/>
          <w:szCs w:val="28"/>
        </w:rPr>
        <w:t>4</w:t>
      </w:r>
      <w:r>
        <w:rPr>
          <w:rFonts w:ascii="Times New Roman" w:hAnsi="Times New Roman" w:eastAsia="宋体" w:cs="Times New Roman"/>
          <w:color w:val="000000"/>
          <w:sz w:val="28"/>
          <w:szCs w:val="28"/>
        </w:rPr>
        <w:t>.00%</w:t>
      </w:r>
      <w:r>
        <w:rPr>
          <w:rFonts w:hint="eastAsia" w:ascii="宋体" w:hAnsi="Times New Roman" w:eastAsia="宋体" w:cs="宋体"/>
          <w:color w:val="000000"/>
          <w:sz w:val="28"/>
          <w:szCs w:val="28"/>
        </w:rPr>
        <w:t>以上。因此，学校将进一步发挥办学优势，确立</w:t>
      </w:r>
      <w:r>
        <w:rPr>
          <w:rFonts w:ascii="宋体" w:hAnsi="Times New Roman" w:eastAsia="宋体" w:cs="宋体"/>
          <w:color w:val="000000"/>
          <w:sz w:val="28"/>
          <w:szCs w:val="28"/>
        </w:rPr>
        <w:t>“</w:t>
      </w:r>
      <w:r>
        <w:rPr>
          <w:rFonts w:hint="eastAsia" w:ascii="宋体" w:hAnsi="Times New Roman" w:eastAsia="宋体" w:cs="宋体"/>
          <w:color w:val="000000"/>
          <w:sz w:val="28"/>
          <w:szCs w:val="28"/>
        </w:rPr>
        <w:t>能力本位</w:t>
      </w:r>
      <w:r>
        <w:rPr>
          <w:rFonts w:ascii="宋体" w:hAnsi="Times New Roman" w:eastAsia="宋体" w:cs="宋体"/>
          <w:color w:val="000000"/>
          <w:sz w:val="28"/>
          <w:szCs w:val="28"/>
        </w:rPr>
        <w:t>”</w:t>
      </w:r>
      <w:r>
        <w:rPr>
          <w:rFonts w:hint="eastAsia" w:ascii="宋体" w:hAnsi="Times New Roman" w:eastAsia="宋体" w:cs="宋体"/>
          <w:color w:val="000000"/>
          <w:sz w:val="28"/>
          <w:szCs w:val="28"/>
        </w:rPr>
        <w:t>的素质教育理念。</w:t>
      </w:r>
    </w:p>
    <w:p>
      <w:pPr>
        <w:pStyle w:val="66"/>
        <w:widowControl w:val="0"/>
        <w:numPr>
          <w:ilvl w:val="0"/>
          <w:numId w:val="2"/>
        </w:numPr>
        <w:autoSpaceDE w:val="0"/>
        <w:autoSpaceDN w:val="0"/>
        <w:adjustRightInd w:val="0"/>
        <w:spacing w:line="360" w:lineRule="auto"/>
        <w:ind w:left="1276" w:hanging="567"/>
        <w:rPr>
          <w:rFonts w:ascii="宋体" w:hAnsi="Times New Roman" w:eastAsia="宋体" w:cs="宋体"/>
          <w:color w:val="000000"/>
          <w:sz w:val="28"/>
          <w:szCs w:val="28"/>
        </w:rPr>
      </w:pPr>
      <w:r>
        <w:rPr>
          <w:rFonts w:hint="eastAsia" w:ascii="宋体" w:hAnsi="Times New Roman" w:eastAsia="宋体" w:cs="宋体"/>
          <w:color w:val="000000"/>
          <w:sz w:val="28"/>
          <w:szCs w:val="28"/>
        </w:rPr>
        <w:t>把专业培养目标与办学模式呈多元化，以满足社会对人才培养的不同要求。教育只是一个经历，高校人才培养口径应该适应社会的人力资源结构，多培养应用型人才。</w:t>
      </w:r>
    </w:p>
    <w:p>
      <w:pPr>
        <w:pStyle w:val="66"/>
        <w:widowControl w:val="0"/>
        <w:numPr>
          <w:ilvl w:val="0"/>
          <w:numId w:val="2"/>
        </w:numPr>
        <w:autoSpaceDE w:val="0"/>
        <w:autoSpaceDN w:val="0"/>
        <w:adjustRightInd w:val="0"/>
        <w:spacing w:line="360" w:lineRule="auto"/>
        <w:ind w:left="1134" w:hanging="425"/>
        <w:rPr>
          <w:rFonts w:ascii="宋体" w:hAnsi="Times New Roman" w:eastAsia="宋体" w:cs="宋体"/>
          <w:color w:val="000000"/>
          <w:sz w:val="28"/>
          <w:szCs w:val="28"/>
        </w:rPr>
      </w:pPr>
      <w:r>
        <w:rPr>
          <w:rFonts w:hint="eastAsia" w:ascii="宋体" w:hAnsi="Times New Roman" w:eastAsia="宋体" w:cs="宋体"/>
          <w:color w:val="000000"/>
          <w:sz w:val="28"/>
          <w:szCs w:val="28"/>
        </w:rPr>
        <w:t>从社会需求实际出发，制定更接地气的人才培养标准，把知识传授型的培养模式转变为提高学生创新思维和适应社会发展能力的创新型人才培养模式。</w:t>
      </w:r>
    </w:p>
    <w:p>
      <w:pPr>
        <w:pStyle w:val="66"/>
        <w:widowControl w:val="0"/>
        <w:numPr>
          <w:ilvl w:val="0"/>
          <w:numId w:val="2"/>
        </w:numPr>
        <w:autoSpaceDE w:val="0"/>
        <w:autoSpaceDN w:val="0"/>
        <w:adjustRightInd w:val="0"/>
        <w:spacing w:line="360" w:lineRule="auto"/>
        <w:ind w:left="1134" w:hanging="425"/>
        <w:rPr>
          <w:rFonts w:ascii="宋体" w:hAnsi="Times New Roman" w:eastAsia="宋体" w:cs="宋体"/>
          <w:color w:val="000000"/>
          <w:sz w:val="24"/>
          <w:szCs w:val="24"/>
        </w:rPr>
      </w:pPr>
      <w:r>
        <w:rPr>
          <w:rFonts w:hint="eastAsia" w:ascii="宋体" w:hAnsi="Times New Roman" w:eastAsia="宋体" w:cs="宋体"/>
          <w:color w:val="000000"/>
          <w:sz w:val="28"/>
          <w:szCs w:val="28"/>
        </w:rPr>
        <w:t>从培养学生实际能力出发，制定务实可操作的人才培养方案。人才培养目标达成度依赖于科学的人才培养模式，同时也要靠与其配套的人才培养方案实现。</w:t>
      </w:r>
      <w:r>
        <w:rPr>
          <w:rFonts w:ascii="宋体" w:hAnsi="Times New Roman" w:eastAsia="宋体" w:cs="宋体"/>
          <w:color w:val="000000"/>
          <w:sz w:val="24"/>
          <w:szCs w:val="24"/>
        </w:rPr>
        <w:t xml:space="preserve"> </w:t>
      </w:r>
    </w:p>
    <w:p>
      <w:pPr>
        <w:pStyle w:val="3"/>
      </w:pPr>
      <w:bookmarkStart w:id="42" w:name="_Toc533510662"/>
      <w:r>
        <w:rPr>
          <w:rFonts w:hint="eastAsia"/>
        </w:rPr>
        <w:t>二、对招生和专业设置的影响</w:t>
      </w:r>
      <w:bookmarkEnd w:id="42"/>
      <w:r>
        <w:t xml:space="preserve"> </w:t>
      </w:r>
    </w:p>
    <w:p>
      <w:pPr>
        <w:spacing w:line="360" w:lineRule="auto"/>
        <w:ind w:firstLine="560" w:firstLineChars="200"/>
        <w:rPr>
          <w:sz w:val="28"/>
          <w:szCs w:val="28"/>
        </w:rPr>
      </w:pPr>
      <w:r>
        <w:rPr>
          <w:rFonts w:hint="eastAsia" w:ascii="宋体" w:hAnsi="Times New Roman" w:eastAsia="宋体" w:cs="宋体"/>
          <w:color w:val="000000"/>
          <w:sz w:val="28"/>
          <w:szCs w:val="28"/>
        </w:rPr>
        <w:t>学校</w:t>
      </w:r>
      <w:r>
        <w:rPr>
          <w:rFonts w:ascii="Times New Roman" w:hAnsi="Times New Roman" w:eastAsia="宋体" w:cs="Times New Roman"/>
          <w:color w:val="000000"/>
          <w:sz w:val="28"/>
          <w:szCs w:val="28"/>
        </w:rPr>
        <w:t>201</w:t>
      </w:r>
      <w:r>
        <w:rPr>
          <w:rFonts w:hint="eastAsia" w:ascii="Times New Roman" w:hAnsi="Times New Roman" w:eastAsia="宋体" w:cs="Times New Roman"/>
          <w:color w:val="000000"/>
          <w:sz w:val="28"/>
          <w:szCs w:val="28"/>
        </w:rPr>
        <w:t>8</w:t>
      </w:r>
      <w:r>
        <w:rPr>
          <w:rFonts w:hint="eastAsia" w:ascii="宋体" w:hAnsi="Times New Roman" w:eastAsia="宋体" w:cs="宋体"/>
          <w:color w:val="000000"/>
          <w:sz w:val="28"/>
          <w:szCs w:val="28"/>
        </w:rPr>
        <w:t>届毕业生各专业的就业情况：各专业就业率均在</w:t>
      </w:r>
      <w:r>
        <w:rPr>
          <w:rFonts w:ascii="Times New Roman" w:hAnsi="Times New Roman" w:eastAsia="宋体" w:cs="Times New Roman"/>
          <w:color w:val="000000"/>
          <w:sz w:val="28"/>
          <w:szCs w:val="28"/>
        </w:rPr>
        <w:t>9</w:t>
      </w:r>
      <w:r>
        <w:rPr>
          <w:rFonts w:hint="eastAsia" w:ascii="Times New Roman" w:hAnsi="Times New Roman" w:eastAsia="宋体" w:cs="Times New Roman"/>
          <w:color w:val="000000"/>
          <w:sz w:val="28"/>
          <w:szCs w:val="28"/>
        </w:rPr>
        <w:t>2</w:t>
      </w:r>
      <w:r>
        <w:rPr>
          <w:rFonts w:ascii="Times New Roman" w:hAnsi="Times New Roman" w:eastAsia="宋体" w:cs="Times New Roman"/>
          <w:color w:val="000000"/>
          <w:sz w:val="28"/>
          <w:szCs w:val="28"/>
        </w:rPr>
        <w:t>.00%</w:t>
      </w:r>
      <w:r>
        <w:rPr>
          <w:rFonts w:hint="eastAsia" w:ascii="宋体" w:hAnsi="Times New Roman" w:eastAsia="宋体" w:cs="宋体"/>
          <w:color w:val="000000"/>
          <w:sz w:val="28"/>
          <w:szCs w:val="28"/>
        </w:rPr>
        <w:t>以上。其中，康复治疗技术、医学影像技术、医疗美容技术等</w:t>
      </w:r>
      <w:r>
        <w:rPr>
          <w:rFonts w:ascii="Times New Roman" w:hAnsi="Times New Roman" w:eastAsia="宋体" w:cs="Times New Roman"/>
          <w:color w:val="000000"/>
          <w:sz w:val="28"/>
          <w:szCs w:val="28"/>
        </w:rPr>
        <w:t>1</w:t>
      </w:r>
      <w:r>
        <w:rPr>
          <w:rFonts w:hint="eastAsia" w:ascii="Times New Roman" w:hAnsi="Times New Roman" w:eastAsia="宋体" w:cs="Times New Roman"/>
          <w:color w:val="000000"/>
          <w:sz w:val="28"/>
          <w:szCs w:val="28"/>
        </w:rPr>
        <w:t>0</w:t>
      </w:r>
      <w:r>
        <w:rPr>
          <w:rFonts w:hint="eastAsia" w:ascii="宋体" w:hAnsi="Times New Roman" w:eastAsia="宋体" w:cs="宋体"/>
          <w:color w:val="000000"/>
          <w:sz w:val="28"/>
          <w:szCs w:val="28"/>
        </w:rPr>
        <w:t>个专业的就业率达到</w:t>
      </w:r>
      <w:r>
        <w:rPr>
          <w:rFonts w:ascii="Times New Roman" w:hAnsi="Times New Roman" w:eastAsia="宋体" w:cs="Times New Roman"/>
          <w:color w:val="000000"/>
          <w:sz w:val="28"/>
          <w:szCs w:val="28"/>
        </w:rPr>
        <w:t>100.00%</w:t>
      </w:r>
      <w:r>
        <w:rPr>
          <w:rFonts w:hint="eastAsia" w:ascii="宋体" w:hAnsi="Times New Roman" w:eastAsia="宋体" w:cs="宋体"/>
          <w:color w:val="000000"/>
          <w:sz w:val="28"/>
          <w:szCs w:val="28"/>
        </w:rPr>
        <w:t>。此外，学校</w:t>
      </w:r>
      <w:r>
        <w:rPr>
          <w:rFonts w:ascii="Times New Roman" w:hAnsi="Times New Roman" w:eastAsia="宋体" w:cs="Times New Roman"/>
          <w:color w:val="000000"/>
          <w:sz w:val="28"/>
          <w:szCs w:val="28"/>
        </w:rPr>
        <w:t>201</w:t>
      </w:r>
      <w:r>
        <w:rPr>
          <w:rFonts w:hint="eastAsia" w:ascii="Times New Roman" w:hAnsi="Times New Roman" w:eastAsia="宋体" w:cs="Times New Roman"/>
          <w:color w:val="000000"/>
          <w:sz w:val="28"/>
          <w:szCs w:val="28"/>
        </w:rPr>
        <w:t>8</w:t>
      </w:r>
      <w:r>
        <w:rPr>
          <w:rFonts w:hint="eastAsia" w:ascii="宋体" w:hAnsi="Times New Roman" w:eastAsia="宋体" w:cs="宋体"/>
          <w:color w:val="000000"/>
          <w:sz w:val="28"/>
          <w:szCs w:val="28"/>
        </w:rPr>
        <w:t>届医用电子仪器与维护专业、药剂设备制造与维护专业毕业生所从事的工作与所学专业的相关度均不足</w:t>
      </w:r>
      <w:r>
        <w:rPr>
          <w:rFonts w:ascii="Times New Roman" w:hAnsi="Times New Roman" w:eastAsia="宋体" w:cs="Times New Roman"/>
          <w:color w:val="000000"/>
          <w:sz w:val="28"/>
          <w:szCs w:val="28"/>
        </w:rPr>
        <w:t>50%</w:t>
      </w:r>
      <w:r>
        <w:rPr>
          <w:rFonts w:hint="eastAsia" w:ascii="宋体" w:hAnsi="Times New Roman" w:eastAsia="宋体" w:cs="宋体"/>
          <w:color w:val="000000"/>
          <w:sz w:val="28"/>
          <w:szCs w:val="28"/>
        </w:rPr>
        <w:t>；且毕业生从事与专业不相关工作的原因</w:t>
      </w:r>
      <w:r>
        <w:rPr>
          <w:rFonts w:hint="eastAsia"/>
          <w:sz w:val="28"/>
          <w:szCs w:val="28"/>
        </w:rPr>
        <w:t>主要为“本专业相关工作与自己的兴趣不符”（35.8%）和“本专业相关工作机会少”（26.4%）。</w:t>
      </w:r>
    </w:p>
    <w:p>
      <w:pPr>
        <w:spacing w:line="360" w:lineRule="auto"/>
        <w:ind w:firstLine="560" w:firstLineChars="200"/>
        <w:rPr>
          <w:rFonts w:ascii="宋体" w:hAnsi="Times New Roman" w:eastAsia="宋体" w:cs="宋体"/>
          <w:color w:val="000000"/>
          <w:sz w:val="28"/>
          <w:szCs w:val="28"/>
        </w:rPr>
      </w:pPr>
      <w:r>
        <w:rPr>
          <w:rFonts w:hint="eastAsia" w:ascii="宋体" w:hAnsi="Times New Roman" w:eastAsia="宋体" w:cs="宋体"/>
          <w:color w:val="000000"/>
          <w:sz w:val="28"/>
          <w:szCs w:val="28"/>
        </w:rPr>
        <w:t>专业作为连接学校入口和出口的纽带,不仅需要面对市场,培养符合市场需求的人才,还要直接面对考生,承担着吸引符合专业要求考生报考的任务。专业设置是否合理、科学,直接影响生源的数量和质量,关系着学校的生存和发展。</w:t>
      </w:r>
    </w:p>
    <w:p>
      <w:pPr>
        <w:pStyle w:val="66"/>
        <w:numPr>
          <w:ilvl w:val="0"/>
          <w:numId w:val="3"/>
        </w:numPr>
        <w:spacing w:line="360" w:lineRule="auto"/>
        <w:rPr>
          <w:rFonts w:ascii="宋体" w:eastAsia="宋体" w:cs="宋体"/>
          <w:sz w:val="28"/>
          <w:szCs w:val="28"/>
        </w:rPr>
      </w:pPr>
      <w:r>
        <w:rPr>
          <w:rFonts w:hint="eastAsia" w:ascii="宋体" w:eastAsia="宋体" w:cs="宋体"/>
          <w:sz w:val="28"/>
          <w:szCs w:val="28"/>
        </w:rPr>
        <w:t>学校在专业设置方面应以服务区域经济的目的，以区域优势产业为依托，加强宏观调控，进一步加强校企合作，增强专业设置的针对性。</w:t>
      </w:r>
    </w:p>
    <w:p>
      <w:pPr>
        <w:pStyle w:val="66"/>
        <w:numPr>
          <w:ilvl w:val="0"/>
          <w:numId w:val="3"/>
        </w:numPr>
        <w:spacing w:line="360" w:lineRule="auto"/>
      </w:pPr>
      <w:r>
        <w:rPr>
          <w:rFonts w:hint="eastAsia" w:ascii="宋体" w:eastAsia="宋体" w:cs="宋体"/>
          <w:sz w:val="28"/>
          <w:szCs w:val="28"/>
        </w:rPr>
        <w:t>根据产业结构调整与升级状况增设新兴专业，在专业设置中突出行业技能的培养，提高专业的实效性，以满足新型产业结构下对于技术人才的需求。</w:t>
      </w:r>
      <w:r>
        <w:rPr>
          <w:rFonts w:ascii="宋体" w:eastAsia="宋体" w:cs="宋体"/>
          <w:sz w:val="23"/>
          <w:szCs w:val="23"/>
        </w:rPr>
        <w:t xml:space="preserve"> </w:t>
      </w:r>
    </w:p>
    <w:p>
      <w:pPr>
        <w:pStyle w:val="3"/>
        <w:rPr>
          <w:rStyle w:val="27"/>
          <w:color w:val="72A376" w:themeColor="accent1"/>
          <w14:textFill>
            <w14:solidFill>
              <w14:schemeClr w14:val="accent1"/>
            </w14:solidFill>
          </w14:textFill>
        </w:rPr>
      </w:pPr>
      <w:r>
        <w:fldChar w:fldCharType="begin"/>
      </w:r>
      <w:r>
        <w:instrText xml:space="preserve"> HYPERLINK \l "_Toc397169586" </w:instrText>
      </w:r>
      <w:r>
        <w:fldChar w:fldCharType="separate"/>
      </w:r>
      <w:bookmarkStart w:id="43" w:name="_Toc533510663"/>
      <w:r>
        <w:rPr>
          <w:rStyle w:val="27"/>
          <w:rFonts w:hint="eastAsia"/>
          <w:color w:val="72A376" w:themeColor="accent1"/>
          <w14:textFill>
            <w14:solidFill>
              <w14:schemeClr w14:val="accent1"/>
            </w14:solidFill>
          </w14:textFill>
        </w:rPr>
        <w:t>三、对就创业指导服务工作的</w:t>
      </w:r>
      <w:r>
        <w:rPr>
          <w:rStyle w:val="27"/>
          <w:rFonts w:hint="eastAsia"/>
          <w:color w:val="72A376" w:themeColor="accent1"/>
          <w14:textFill>
            <w14:solidFill>
              <w14:schemeClr w14:val="accent1"/>
            </w14:solidFill>
          </w14:textFill>
        </w:rPr>
        <w:fldChar w:fldCharType="end"/>
      </w:r>
      <w:r>
        <w:rPr>
          <w:rStyle w:val="27"/>
          <w:color w:val="72A376" w:themeColor="accent1"/>
          <w14:textFill>
            <w14:solidFill>
              <w14:schemeClr w14:val="accent1"/>
            </w14:solidFill>
          </w14:textFill>
        </w:rPr>
        <w:t>影响</w:t>
      </w:r>
      <w:bookmarkEnd w:id="43"/>
    </w:p>
    <w:p>
      <w:pPr>
        <w:pStyle w:val="4"/>
      </w:pPr>
      <w:bookmarkStart w:id="44" w:name="_Toc533510664"/>
      <w:r>
        <w:rPr>
          <w:rFonts w:hint="eastAsia"/>
        </w:rPr>
        <w:t>（一）对就创业指导服务工作的评价</w:t>
      </w:r>
      <w:bookmarkEnd w:id="44"/>
    </w:p>
    <w:p>
      <w:pPr>
        <w:spacing w:line="450" w:lineRule="atLeast"/>
        <w:ind w:firstLine="551" w:firstLineChars="196"/>
        <w:rPr>
          <w:rFonts w:ascii="宋体" w:hAnsi="宋体" w:cs="宋体"/>
          <w:sz w:val="28"/>
          <w:szCs w:val="28"/>
        </w:rPr>
      </w:pPr>
      <w:r>
        <w:rPr>
          <w:rFonts w:hint="eastAsia"/>
          <w:b/>
          <w:sz w:val="28"/>
          <w:szCs w:val="28"/>
        </w:rPr>
        <w:t>毕业生对学校就业指导服务的满意度：</w:t>
      </w:r>
      <w:r>
        <w:rPr>
          <w:rFonts w:hint="eastAsia"/>
          <w:sz w:val="28"/>
          <w:szCs w:val="28"/>
        </w:rPr>
        <w:t>毕业生对母校各项就业指导服务的满意度均在</w:t>
      </w:r>
      <w:r>
        <w:rPr>
          <w:rFonts w:ascii="Times New Roman" w:hAnsi="Times New Roman" w:cs="Times New Roman"/>
          <w:sz w:val="28"/>
          <w:szCs w:val="28"/>
        </w:rPr>
        <w:t>9</w:t>
      </w:r>
      <w:r>
        <w:rPr>
          <w:rFonts w:hint="eastAsia" w:ascii="Times New Roman" w:hAnsi="Times New Roman" w:cs="Times New Roman"/>
          <w:sz w:val="28"/>
          <w:szCs w:val="28"/>
        </w:rPr>
        <w:t>1.</w:t>
      </w:r>
      <w:r>
        <w:rPr>
          <w:rFonts w:ascii="Times New Roman" w:hAnsi="Times New Roman" w:cs="Times New Roman"/>
          <w:sz w:val="28"/>
          <w:szCs w:val="28"/>
        </w:rPr>
        <w:t>00%</w:t>
      </w:r>
      <w:r>
        <w:rPr>
          <w:rFonts w:hint="eastAsia" w:hAnsi="Times New Roman"/>
          <w:sz w:val="28"/>
          <w:szCs w:val="28"/>
        </w:rPr>
        <w:t>以上，其中</w:t>
      </w:r>
      <w:r>
        <w:rPr>
          <w:rFonts w:hAnsi="Times New Roman"/>
          <w:sz w:val="28"/>
          <w:szCs w:val="28"/>
        </w:rPr>
        <w:t>“</w:t>
      </w:r>
      <w:r>
        <w:rPr>
          <w:rFonts w:hint="eastAsia" w:hAnsi="Times New Roman"/>
          <w:sz w:val="28"/>
          <w:szCs w:val="28"/>
        </w:rPr>
        <w:t>就业手续办理</w:t>
      </w:r>
      <w:r>
        <w:rPr>
          <w:rFonts w:hAnsi="Times New Roman"/>
          <w:sz w:val="28"/>
          <w:szCs w:val="28"/>
        </w:rPr>
        <w:t>”</w:t>
      </w:r>
      <w:r>
        <w:rPr>
          <w:rFonts w:hint="eastAsia" w:hAnsi="Times New Roman"/>
          <w:sz w:val="28"/>
          <w:szCs w:val="28"/>
        </w:rPr>
        <w:t>、</w:t>
      </w:r>
      <w:r>
        <w:rPr>
          <w:rFonts w:hAnsi="Times New Roman"/>
          <w:sz w:val="28"/>
          <w:szCs w:val="28"/>
        </w:rPr>
        <w:t>“</w:t>
      </w:r>
      <w:r>
        <w:rPr>
          <w:rFonts w:hint="eastAsia" w:hAnsi="Times New Roman"/>
          <w:sz w:val="28"/>
          <w:szCs w:val="28"/>
        </w:rPr>
        <w:t>就业帮扶与推荐</w:t>
      </w:r>
      <w:r>
        <w:rPr>
          <w:rFonts w:hAnsi="Times New Roman"/>
          <w:sz w:val="28"/>
          <w:szCs w:val="28"/>
        </w:rPr>
        <w:t>”</w:t>
      </w:r>
      <w:r>
        <w:rPr>
          <w:rFonts w:hint="eastAsia" w:hAnsi="Times New Roman"/>
          <w:sz w:val="28"/>
          <w:szCs w:val="28"/>
        </w:rPr>
        <w:t>的满意度均为</w:t>
      </w:r>
      <w:r>
        <w:rPr>
          <w:rFonts w:hint="eastAsia" w:ascii="Times New Roman" w:hAnsi="Times New Roman" w:cs="Times New Roman"/>
          <w:sz w:val="28"/>
          <w:szCs w:val="28"/>
        </w:rPr>
        <w:t>93.00</w:t>
      </w:r>
      <w:r>
        <w:rPr>
          <w:rFonts w:ascii="Times New Roman" w:hAnsi="Times New Roman" w:cs="Times New Roman"/>
          <w:sz w:val="28"/>
          <w:szCs w:val="28"/>
        </w:rPr>
        <w:t>%以上</w:t>
      </w:r>
      <w:r>
        <w:rPr>
          <w:rFonts w:hint="eastAsia" w:hAnsi="Times New Roman"/>
          <w:sz w:val="28"/>
          <w:szCs w:val="28"/>
        </w:rPr>
        <w:t>；一方面表明学校就业指导服务工作得到了毕业生的认可，另一方面也体现了学校就业工作在促进毕业生顺利就业、高质量就业中所发挥的重要作用。</w:t>
      </w:r>
    </w:p>
    <w:p>
      <w:pPr>
        <w:spacing w:line="450" w:lineRule="atLeast"/>
        <w:ind w:firstLine="560"/>
        <w:jc w:val="center"/>
        <w:rPr>
          <w:rFonts w:ascii="宋体" w:hAnsi="宋体" w:cs="宋体"/>
        </w:rPr>
      </w:pPr>
      <w:r>
        <w:drawing>
          <wp:inline distT="0" distB="0" distL="0" distR="0">
            <wp:extent cx="4572000" cy="2749550"/>
            <wp:effectExtent l="0" t="0" r="19050" b="12700"/>
            <wp:docPr id="290" name="图表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widowControl w:val="0"/>
        <w:autoSpaceDE w:val="0"/>
        <w:autoSpaceDN w:val="0"/>
        <w:adjustRightInd w:val="0"/>
        <w:spacing w:line="360" w:lineRule="auto"/>
        <w:jc w:val="center"/>
        <w:rPr>
          <w:rFonts w:ascii="黑体" w:hAnsi="Times New Roman" w:eastAsia="黑体" w:cs="黑体"/>
          <w:color w:val="000000"/>
        </w:rPr>
      </w:pPr>
      <w:r>
        <w:rPr>
          <w:rFonts w:hint="eastAsia" w:ascii="黑体" w:eastAsia="黑体" w:cs="黑体"/>
          <w:color w:val="000000"/>
        </w:rPr>
        <w:t>图</w:t>
      </w:r>
      <w:r>
        <w:rPr>
          <w:rFonts w:ascii="Times New Roman" w:hAnsi="Times New Roman" w:eastAsia="黑体" w:cs="Times New Roman"/>
          <w:b/>
          <w:bCs/>
          <w:color w:val="000000"/>
        </w:rPr>
        <w:t xml:space="preserve">5- </w:t>
      </w:r>
      <w:r>
        <w:rPr>
          <w:rFonts w:hint="eastAsia" w:ascii="Times New Roman" w:hAnsi="Times New Roman" w:eastAsia="黑体" w:cs="Times New Roman"/>
          <w:b/>
          <w:bCs/>
          <w:color w:val="000000"/>
        </w:rPr>
        <w:t>7</w:t>
      </w:r>
      <w:r>
        <w:rPr>
          <w:rFonts w:ascii="Times New Roman" w:hAnsi="Times New Roman" w:eastAsia="黑体" w:cs="Times New Roman"/>
          <w:b/>
          <w:bCs/>
          <w:color w:val="000000"/>
        </w:rPr>
        <w:t xml:space="preserve"> 201</w:t>
      </w:r>
      <w:r>
        <w:rPr>
          <w:rFonts w:hint="eastAsia" w:ascii="Times New Roman" w:hAnsi="Times New Roman" w:eastAsia="黑体" w:cs="Times New Roman"/>
          <w:b/>
          <w:bCs/>
          <w:color w:val="000000"/>
        </w:rPr>
        <w:t>8</w:t>
      </w:r>
      <w:r>
        <w:rPr>
          <w:rFonts w:hint="eastAsia" w:ascii="黑体" w:hAnsi="Times New Roman" w:eastAsia="黑体" w:cs="黑体"/>
          <w:color w:val="000000"/>
        </w:rPr>
        <w:t>届毕业生对学校就业指导服务的评价</w:t>
      </w:r>
    </w:p>
    <w:p>
      <w:pPr>
        <w:widowControl w:val="0"/>
        <w:autoSpaceDE w:val="0"/>
        <w:autoSpaceDN w:val="0"/>
        <w:adjustRightInd w:val="0"/>
        <w:spacing w:line="360" w:lineRule="auto"/>
        <w:rPr>
          <w:rFonts w:ascii="宋体" w:hAnsi="Times New Roman" w:eastAsia="宋体" w:cs="宋体"/>
          <w:color w:val="000000"/>
          <w:sz w:val="20"/>
          <w:szCs w:val="20"/>
        </w:rPr>
      </w:pPr>
      <w:r>
        <w:rPr>
          <w:rFonts w:hint="eastAsia" w:ascii="宋体" w:hAnsi="Times New Roman" w:eastAsia="宋体" w:cs="宋体"/>
          <w:color w:val="000000"/>
          <w:sz w:val="20"/>
          <w:szCs w:val="20"/>
        </w:rPr>
        <w:t>注：满意度为选择</w:t>
      </w:r>
      <w:r>
        <w:rPr>
          <w:rFonts w:ascii="宋体" w:hAnsi="Times New Roman" w:eastAsia="宋体" w:cs="宋体"/>
          <w:color w:val="000000"/>
          <w:sz w:val="20"/>
          <w:szCs w:val="20"/>
        </w:rPr>
        <w:t>“</w:t>
      </w:r>
      <w:r>
        <w:rPr>
          <w:rFonts w:hint="eastAsia" w:ascii="宋体" w:hAnsi="Times New Roman" w:eastAsia="宋体" w:cs="宋体"/>
          <w:color w:val="000000"/>
          <w:sz w:val="20"/>
          <w:szCs w:val="20"/>
        </w:rPr>
        <w:t>非常满意</w:t>
      </w:r>
      <w:r>
        <w:rPr>
          <w:rFonts w:ascii="宋体" w:hAnsi="Times New Roman" w:eastAsia="宋体" w:cs="宋体"/>
          <w:color w:val="000000"/>
          <w:sz w:val="20"/>
          <w:szCs w:val="20"/>
        </w:rPr>
        <w:t>”</w:t>
      </w:r>
      <w:r>
        <w:rPr>
          <w:rFonts w:hint="eastAsia" w:ascii="宋体" w:hAnsi="Times New Roman" w:eastAsia="宋体" w:cs="宋体"/>
          <w:color w:val="000000"/>
          <w:sz w:val="20"/>
          <w:szCs w:val="20"/>
        </w:rPr>
        <w:t>、</w:t>
      </w:r>
      <w:r>
        <w:rPr>
          <w:rFonts w:ascii="宋体" w:hAnsi="Times New Roman" w:eastAsia="宋体" w:cs="宋体"/>
          <w:color w:val="000000"/>
          <w:sz w:val="20"/>
          <w:szCs w:val="20"/>
        </w:rPr>
        <w:t>“</w:t>
      </w:r>
      <w:r>
        <w:rPr>
          <w:rFonts w:hint="eastAsia" w:ascii="宋体" w:hAnsi="Times New Roman" w:eastAsia="宋体" w:cs="宋体"/>
          <w:color w:val="000000"/>
          <w:sz w:val="20"/>
          <w:szCs w:val="20"/>
        </w:rPr>
        <w:t>比较满意</w:t>
      </w:r>
      <w:r>
        <w:rPr>
          <w:rFonts w:ascii="宋体" w:hAnsi="Times New Roman" w:eastAsia="宋体" w:cs="宋体"/>
          <w:color w:val="000000"/>
          <w:sz w:val="20"/>
          <w:szCs w:val="20"/>
        </w:rPr>
        <w:t>”</w:t>
      </w:r>
      <w:r>
        <w:rPr>
          <w:rFonts w:hint="eastAsia" w:ascii="宋体" w:hAnsi="Times New Roman" w:eastAsia="宋体" w:cs="宋体"/>
          <w:color w:val="000000"/>
          <w:sz w:val="20"/>
          <w:szCs w:val="20"/>
        </w:rPr>
        <w:t>和</w:t>
      </w:r>
      <w:r>
        <w:rPr>
          <w:rFonts w:ascii="宋体" w:hAnsi="Times New Roman" w:eastAsia="宋体" w:cs="宋体"/>
          <w:color w:val="000000"/>
          <w:sz w:val="20"/>
          <w:szCs w:val="20"/>
        </w:rPr>
        <w:t>“</w:t>
      </w:r>
      <w:r>
        <w:rPr>
          <w:rFonts w:hint="eastAsia" w:ascii="宋体" w:hAnsi="Times New Roman" w:eastAsia="宋体" w:cs="宋体"/>
          <w:color w:val="000000"/>
          <w:sz w:val="20"/>
          <w:szCs w:val="20"/>
        </w:rPr>
        <w:t>一般</w:t>
      </w:r>
      <w:r>
        <w:rPr>
          <w:rFonts w:ascii="宋体" w:hAnsi="Times New Roman" w:eastAsia="宋体" w:cs="宋体"/>
          <w:color w:val="000000"/>
          <w:sz w:val="20"/>
          <w:szCs w:val="20"/>
        </w:rPr>
        <w:t>”</w:t>
      </w:r>
      <w:r>
        <w:rPr>
          <w:rFonts w:hint="eastAsia" w:ascii="宋体" w:hAnsi="Times New Roman" w:eastAsia="宋体" w:cs="宋体"/>
          <w:color w:val="000000"/>
          <w:sz w:val="20"/>
          <w:szCs w:val="20"/>
        </w:rPr>
        <w:t>的人数占此题总人数的比例。</w:t>
      </w:r>
      <w:r>
        <w:rPr>
          <w:rFonts w:ascii="宋体" w:hAnsi="Times New Roman" w:eastAsia="宋体" w:cs="宋体"/>
          <w:color w:val="000000"/>
          <w:sz w:val="20"/>
          <w:szCs w:val="20"/>
        </w:rPr>
        <w:t xml:space="preserve"> </w:t>
      </w:r>
    </w:p>
    <w:p>
      <w:pPr>
        <w:spacing w:line="360" w:lineRule="auto"/>
        <w:rPr>
          <w:rFonts w:ascii="宋体" w:hAnsi="宋体" w:cs="宋体"/>
          <w:sz w:val="20"/>
          <w:szCs w:val="20"/>
        </w:rPr>
      </w:pPr>
      <w:r>
        <w:rPr>
          <w:rFonts w:hint="eastAsia" w:ascii="宋体" w:hAnsi="Times New Roman" w:eastAsia="宋体" w:cs="宋体"/>
          <w:color w:val="000000"/>
          <w:sz w:val="20"/>
          <w:szCs w:val="20"/>
        </w:rPr>
        <w:t>数据来源：第三方机构成都泽奥</w:t>
      </w:r>
      <w:r>
        <w:rPr>
          <w:rFonts w:ascii="宋体" w:hAnsi="Times New Roman" w:eastAsia="宋体" w:cs="宋体"/>
          <w:color w:val="000000"/>
          <w:sz w:val="20"/>
          <w:szCs w:val="20"/>
        </w:rPr>
        <w:t>-201</w:t>
      </w:r>
      <w:r>
        <w:rPr>
          <w:rFonts w:hint="eastAsia" w:ascii="宋体" w:hAnsi="Times New Roman" w:eastAsia="宋体" w:cs="宋体"/>
          <w:color w:val="000000"/>
          <w:sz w:val="20"/>
          <w:szCs w:val="20"/>
        </w:rPr>
        <w:t>8届毕业生就业与培养质量调查。</w:t>
      </w:r>
    </w:p>
    <w:p>
      <w:pPr>
        <w:spacing w:line="450" w:lineRule="atLeast"/>
        <w:ind w:firstLine="551" w:firstLineChars="196"/>
        <w:rPr>
          <w:rFonts w:ascii="宋体" w:hAnsi="宋体" w:cs="宋体"/>
          <w:sz w:val="28"/>
          <w:szCs w:val="28"/>
        </w:rPr>
      </w:pPr>
      <w:r>
        <w:rPr>
          <w:rFonts w:hint="eastAsia"/>
          <w:b/>
          <w:sz w:val="28"/>
          <w:szCs w:val="28"/>
        </w:rPr>
        <w:t>毕业生对学校创业教育</w:t>
      </w:r>
      <w:r>
        <w:rPr>
          <w:rFonts w:ascii="Times New Roman" w:hAnsi="Times New Roman" w:cs="Times New Roman"/>
          <w:b/>
          <w:bCs/>
          <w:sz w:val="28"/>
          <w:szCs w:val="28"/>
        </w:rPr>
        <w:t>/</w:t>
      </w:r>
      <w:r>
        <w:rPr>
          <w:rFonts w:hint="eastAsia" w:hAnsi="Times New Roman"/>
          <w:b/>
          <w:sz w:val="28"/>
          <w:szCs w:val="28"/>
        </w:rPr>
        <w:t>指导服务的满意度</w:t>
      </w:r>
      <w:r>
        <w:rPr>
          <w:rFonts w:hint="eastAsia" w:hAnsi="Times New Roman"/>
          <w:sz w:val="28"/>
          <w:szCs w:val="28"/>
        </w:rPr>
        <w:t>：毕业生对母校各项创业教育</w:t>
      </w:r>
      <w:r>
        <w:rPr>
          <w:rFonts w:ascii="Times New Roman" w:hAnsi="Times New Roman" w:cs="Times New Roman"/>
          <w:sz w:val="28"/>
          <w:szCs w:val="28"/>
        </w:rPr>
        <w:t>/</w:t>
      </w:r>
      <w:r>
        <w:rPr>
          <w:rFonts w:hint="eastAsia" w:hAnsi="Times New Roman"/>
          <w:sz w:val="28"/>
          <w:szCs w:val="28"/>
        </w:rPr>
        <w:t>指导服务满意度均在</w:t>
      </w:r>
      <w:r>
        <w:rPr>
          <w:rFonts w:ascii="Times New Roman" w:hAnsi="Times New Roman" w:cs="Times New Roman"/>
          <w:sz w:val="28"/>
          <w:szCs w:val="28"/>
        </w:rPr>
        <w:t>97.00%</w:t>
      </w:r>
      <w:r>
        <w:rPr>
          <w:rFonts w:hint="eastAsia" w:hAnsi="Times New Roman"/>
          <w:sz w:val="28"/>
          <w:szCs w:val="28"/>
        </w:rPr>
        <w:t>以上，其中，对创业实训与模拟的满意度达到</w:t>
      </w:r>
      <w:r>
        <w:rPr>
          <w:rFonts w:hint="eastAsia" w:ascii="Times New Roman" w:hAnsi="Times New Roman" w:cs="Times New Roman"/>
          <w:sz w:val="28"/>
          <w:szCs w:val="28"/>
        </w:rPr>
        <w:t>98.33</w:t>
      </w:r>
      <w:r>
        <w:rPr>
          <w:rFonts w:ascii="Times New Roman" w:hAnsi="Times New Roman" w:cs="Times New Roman"/>
          <w:sz w:val="28"/>
          <w:szCs w:val="28"/>
        </w:rPr>
        <w:t>%</w:t>
      </w:r>
      <w:r>
        <w:rPr>
          <w:rFonts w:hint="eastAsia" w:hAnsi="Times New Roman"/>
          <w:sz w:val="28"/>
          <w:szCs w:val="28"/>
        </w:rPr>
        <w:t>。</w:t>
      </w:r>
    </w:p>
    <w:p>
      <w:pPr>
        <w:spacing w:line="450" w:lineRule="atLeast"/>
        <w:ind w:firstLine="560"/>
        <w:jc w:val="center"/>
        <w:rPr>
          <w:rFonts w:ascii="宋体" w:hAnsi="宋体" w:cs="宋体"/>
        </w:rPr>
      </w:pPr>
      <w:r>
        <w:drawing>
          <wp:inline distT="0" distB="0" distL="0" distR="0">
            <wp:extent cx="4572000" cy="2743200"/>
            <wp:effectExtent l="0" t="0" r="19050" b="19050"/>
            <wp:docPr id="291" name="图表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widowControl w:val="0"/>
        <w:autoSpaceDE w:val="0"/>
        <w:autoSpaceDN w:val="0"/>
        <w:adjustRightInd w:val="0"/>
        <w:spacing w:line="360" w:lineRule="auto"/>
        <w:jc w:val="center"/>
        <w:rPr>
          <w:rFonts w:ascii="黑体" w:hAnsi="Times New Roman" w:eastAsia="黑体" w:cs="黑体"/>
          <w:color w:val="000000"/>
        </w:rPr>
      </w:pPr>
      <w:r>
        <w:rPr>
          <w:rFonts w:hint="eastAsia" w:ascii="黑体" w:eastAsia="黑体" w:cs="黑体"/>
          <w:color w:val="000000"/>
        </w:rPr>
        <w:t>图</w:t>
      </w:r>
      <w:r>
        <w:rPr>
          <w:rFonts w:ascii="Times New Roman" w:hAnsi="Times New Roman" w:eastAsia="黑体" w:cs="Times New Roman"/>
          <w:b/>
          <w:bCs/>
          <w:color w:val="000000"/>
        </w:rPr>
        <w:t xml:space="preserve">5- </w:t>
      </w:r>
      <w:r>
        <w:rPr>
          <w:rFonts w:hint="eastAsia" w:ascii="Times New Roman" w:hAnsi="Times New Roman" w:eastAsia="黑体" w:cs="Times New Roman"/>
          <w:b/>
          <w:bCs/>
          <w:color w:val="000000"/>
        </w:rPr>
        <w:t xml:space="preserve">8  </w:t>
      </w:r>
      <w:r>
        <w:rPr>
          <w:rFonts w:ascii="Times New Roman" w:hAnsi="Times New Roman" w:eastAsia="黑体" w:cs="Times New Roman"/>
          <w:b/>
          <w:bCs/>
          <w:color w:val="000000"/>
        </w:rPr>
        <w:t>201</w:t>
      </w:r>
      <w:r>
        <w:rPr>
          <w:rFonts w:hint="eastAsia" w:ascii="Times New Roman" w:hAnsi="Times New Roman" w:eastAsia="黑体" w:cs="Times New Roman"/>
          <w:b/>
          <w:bCs/>
          <w:color w:val="000000"/>
        </w:rPr>
        <w:t>8</w:t>
      </w:r>
      <w:r>
        <w:rPr>
          <w:rFonts w:hint="eastAsia" w:ascii="黑体" w:hAnsi="Times New Roman" w:eastAsia="黑体" w:cs="黑体"/>
          <w:color w:val="000000"/>
        </w:rPr>
        <w:t>届毕业生对学校创业教育</w:t>
      </w:r>
      <w:r>
        <w:rPr>
          <w:rFonts w:ascii="Times New Roman" w:hAnsi="Times New Roman" w:eastAsia="黑体" w:cs="Times New Roman"/>
          <w:b/>
          <w:bCs/>
          <w:color w:val="000000"/>
        </w:rPr>
        <w:t>/</w:t>
      </w:r>
      <w:r>
        <w:rPr>
          <w:rFonts w:hint="eastAsia" w:ascii="黑体" w:hAnsi="Times New Roman" w:eastAsia="黑体" w:cs="黑体"/>
          <w:color w:val="000000"/>
        </w:rPr>
        <w:t>指导服务的评价</w:t>
      </w:r>
    </w:p>
    <w:p>
      <w:pPr>
        <w:widowControl w:val="0"/>
        <w:autoSpaceDE w:val="0"/>
        <w:autoSpaceDN w:val="0"/>
        <w:adjustRightInd w:val="0"/>
        <w:spacing w:line="360" w:lineRule="auto"/>
        <w:rPr>
          <w:rFonts w:ascii="宋体" w:hAnsi="Times New Roman" w:eastAsia="宋体" w:cs="宋体"/>
          <w:color w:val="000000"/>
          <w:sz w:val="20"/>
          <w:szCs w:val="20"/>
        </w:rPr>
      </w:pPr>
      <w:r>
        <w:rPr>
          <w:rFonts w:hint="eastAsia" w:ascii="宋体" w:hAnsi="Times New Roman" w:eastAsia="宋体" w:cs="宋体"/>
          <w:color w:val="000000"/>
          <w:sz w:val="20"/>
          <w:szCs w:val="20"/>
        </w:rPr>
        <w:t>注：满意度为选择</w:t>
      </w:r>
      <w:r>
        <w:rPr>
          <w:rFonts w:ascii="宋体" w:hAnsi="Times New Roman" w:eastAsia="宋体" w:cs="宋体"/>
          <w:color w:val="000000"/>
          <w:sz w:val="20"/>
          <w:szCs w:val="20"/>
        </w:rPr>
        <w:t>“</w:t>
      </w:r>
      <w:r>
        <w:rPr>
          <w:rFonts w:hint="eastAsia" w:ascii="宋体" w:hAnsi="Times New Roman" w:eastAsia="宋体" w:cs="宋体"/>
          <w:color w:val="000000"/>
          <w:sz w:val="20"/>
          <w:szCs w:val="20"/>
        </w:rPr>
        <w:t>非常满意</w:t>
      </w:r>
      <w:r>
        <w:rPr>
          <w:rFonts w:ascii="宋体" w:hAnsi="Times New Roman" w:eastAsia="宋体" w:cs="宋体"/>
          <w:color w:val="000000"/>
          <w:sz w:val="20"/>
          <w:szCs w:val="20"/>
        </w:rPr>
        <w:t>”</w:t>
      </w:r>
      <w:r>
        <w:rPr>
          <w:rFonts w:hint="eastAsia" w:ascii="宋体" w:hAnsi="Times New Roman" w:eastAsia="宋体" w:cs="宋体"/>
          <w:color w:val="000000"/>
          <w:sz w:val="20"/>
          <w:szCs w:val="20"/>
        </w:rPr>
        <w:t>、</w:t>
      </w:r>
      <w:r>
        <w:rPr>
          <w:rFonts w:ascii="宋体" w:hAnsi="Times New Roman" w:eastAsia="宋体" w:cs="宋体"/>
          <w:color w:val="000000"/>
          <w:sz w:val="20"/>
          <w:szCs w:val="20"/>
        </w:rPr>
        <w:t>“</w:t>
      </w:r>
      <w:r>
        <w:rPr>
          <w:rFonts w:hint="eastAsia" w:ascii="宋体" w:hAnsi="Times New Roman" w:eastAsia="宋体" w:cs="宋体"/>
          <w:color w:val="000000"/>
          <w:sz w:val="20"/>
          <w:szCs w:val="20"/>
        </w:rPr>
        <w:t>比较满意</w:t>
      </w:r>
      <w:r>
        <w:rPr>
          <w:rFonts w:ascii="宋体" w:hAnsi="Times New Roman" w:eastAsia="宋体" w:cs="宋体"/>
          <w:color w:val="000000"/>
          <w:sz w:val="20"/>
          <w:szCs w:val="20"/>
        </w:rPr>
        <w:t>”</w:t>
      </w:r>
      <w:r>
        <w:rPr>
          <w:rFonts w:hint="eastAsia" w:ascii="宋体" w:hAnsi="Times New Roman" w:eastAsia="宋体" w:cs="宋体"/>
          <w:color w:val="000000"/>
          <w:sz w:val="20"/>
          <w:szCs w:val="20"/>
        </w:rPr>
        <w:t>和</w:t>
      </w:r>
      <w:r>
        <w:rPr>
          <w:rFonts w:ascii="宋体" w:hAnsi="Times New Roman" w:eastAsia="宋体" w:cs="宋体"/>
          <w:color w:val="000000"/>
          <w:sz w:val="20"/>
          <w:szCs w:val="20"/>
        </w:rPr>
        <w:t>“</w:t>
      </w:r>
      <w:r>
        <w:rPr>
          <w:rFonts w:hint="eastAsia" w:ascii="宋体" w:hAnsi="Times New Roman" w:eastAsia="宋体" w:cs="宋体"/>
          <w:color w:val="000000"/>
          <w:sz w:val="20"/>
          <w:szCs w:val="20"/>
        </w:rPr>
        <w:t>一般</w:t>
      </w:r>
      <w:r>
        <w:rPr>
          <w:rFonts w:ascii="宋体" w:hAnsi="Times New Roman" w:eastAsia="宋体" w:cs="宋体"/>
          <w:color w:val="000000"/>
          <w:sz w:val="20"/>
          <w:szCs w:val="20"/>
        </w:rPr>
        <w:t>”</w:t>
      </w:r>
      <w:r>
        <w:rPr>
          <w:rFonts w:hint="eastAsia" w:ascii="宋体" w:hAnsi="Times New Roman" w:eastAsia="宋体" w:cs="宋体"/>
          <w:color w:val="000000"/>
          <w:sz w:val="20"/>
          <w:szCs w:val="20"/>
        </w:rPr>
        <w:t>的人数占此题总人数的比例。</w:t>
      </w:r>
      <w:r>
        <w:rPr>
          <w:rFonts w:ascii="宋体" w:hAnsi="Times New Roman" w:eastAsia="宋体" w:cs="宋体"/>
          <w:color w:val="000000"/>
          <w:sz w:val="20"/>
          <w:szCs w:val="20"/>
        </w:rPr>
        <w:t xml:space="preserve"> </w:t>
      </w:r>
    </w:p>
    <w:p>
      <w:pPr>
        <w:spacing w:line="360" w:lineRule="auto"/>
        <w:rPr>
          <w:rFonts w:ascii="宋体" w:hAnsi="宋体" w:cs="宋体"/>
          <w:sz w:val="20"/>
          <w:szCs w:val="20"/>
        </w:rPr>
      </w:pPr>
      <w:r>
        <w:rPr>
          <w:rFonts w:hint="eastAsia" w:ascii="宋体" w:hAnsi="Times New Roman" w:eastAsia="宋体" w:cs="宋体"/>
          <w:color w:val="000000"/>
          <w:sz w:val="20"/>
          <w:szCs w:val="20"/>
        </w:rPr>
        <w:t>数据来源：第三方机构成都泽奥</w:t>
      </w:r>
      <w:r>
        <w:rPr>
          <w:rFonts w:ascii="宋体" w:hAnsi="Times New Roman" w:eastAsia="宋体" w:cs="宋体"/>
          <w:color w:val="000000"/>
          <w:sz w:val="20"/>
          <w:szCs w:val="20"/>
        </w:rPr>
        <w:t>-201</w:t>
      </w:r>
      <w:r>
        <w:rPr>
          <w:rFonts w:hint="eastAsia" w:ascii="宋体" w:hAnsi="Times New Roman" w:eastAsia="宋体" w:cs="宋体"/>
          <w:color w:val="000000"/>
          <w:sz w:val="20"/>
          <w:szCs w:val="20"/>
        </w:rPr>
        <w:t>8届毕业生就业与培养质量调查。</w:t>
      </w:r>
    </w:p>
    <w:p>
      <w:pPr>
        <w:spacing w:line="450" w:lineRule="atLeast"/>
        <w:ind w:firstLine="551" w:firstLineChars="196"/>
        <w:rPr>
          <w:rFonts w:ascii="宋体" w:hAnsi="宋体" w:cs="宋体"/>
          <w:sz w:val="28"/>
          <w:szCs w:val="28"/>
        </w:rPr>
      </w:pPr>
      <w:r>
        <w:rPr>
          <w:rFonts w:hint="eastAsia" w:ascii="宋体" w:hAnsi="宋体" w:cs="宋体"/>
          <w:b/>
          <w:sz w:val="28"/>
          <w:szCs w:val="28"/>
        </w:rPr>
        <w:t>用人单位对学校就业服务工作的评价</w:t>
      </w:r>
      <w:r>
        <w:rPr>
          <w:rFonts w:hint="eastAsia" w:ascii="宋体" w:hAnsi="宋体" w:cs="宋体"/>
          <w:sz w:val="28"/>
          <w:szCs w:val="28"/>
        </w:rPr>
        <w:t>：用人单位对学校就业服务工作满意度为非常满意44.68%，比较满意为36.17%，说明用人单位非常认可学校就业服务工作。</w:t>
      </w:r>
      <w:r>
        <w:rPr>
          <w:rFonts w:ascii="宋体" w:hAnsi="宋体" w:cs="宋体"/>
          <w:sz w:val="28"/>
          <w:szCs w:val="28"/>
        </w:rPr>
        <w:t xml:space="preserve"> </w:t>
      </w:r>
    </w:p>
    <w:p>
      <w:pPr>
        <w:spacing w:line="450" w:lineRule="atLeast"/>
        <w:ind w:firstLine="560"/>
        <w:jc w:val="center"/>
        <w:rPr>
          <w:rFonts w:ascii="宋体" w:hAnsi="宋体" w:cs="宋体"/>
        </w:rPr>
      </w:pPr>
      <w:r>
        <w:drawing>
          <wp:inline distT="0" distB="0" distL="0" distR="0">
            <wp:extent cx="5062220" cy="2703195"/>
            <wp:effectExtent l="0" t="0" r="24130" b="20955"/>
            <wp:docPr id="292" name="图表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widowControl w:val="0"/>
        <w:autoSpaceDE w:val="0"/>
        <w:autoSpaceDN w:val="0"/>
        <w:adjustRightInd w:val="0"/>
        <w:spacing w:line="360" w:lineRule="auto"/>
        <w:jc w:val="center"/>
        <w:rPr>
          <w:rFonts w:ascii="黑体" w:hAnsi="Times New Roman" w:eastAsia="黑体" w:cs="黑体"/>
          <w:color w:val="000000"/>
        </w:rPr>
      </w:pPr>
      <w:r>
        <w:rPr>
          <w:rFonts w:hint="eastAsia" w:ascii="黑体" w:eastAsia="黑体" w:cs="黑体"/>
          <w:color w:val="000000"/>
        </w:rPr>
        <w:t>图</w:t>
      </w:r>
      <w:r>
        <w:rPr>
          <w:rFonts w:ascii="Times New Roman" w:hAnsi="Times New Roman" w:eastAsia="黑体" w:cs="Times New Roman"/>
          <w:b/>
          <w:bCs/>
          <w:color w:val="000000"/>
        </w:rPr>
        <w:t>5-</w:t>
      </w:r>
      <w:r>
        <w:rPr>
          <w:rFonts w:hint="eastAsia" w:ascii="Times New Roman" w:hAnsi="Times New Roman" w:eastAsia="黑体" w:cs="Times New Roman"/>
          <w:b/>
          <w:bCs/>
          <w:color w:val="000000"/>
        </w:rPr>
        <w:t xml:space="preserve">9 </w:t>
      </w:r>
      <w:r>
        <w:rPr>
          <w:rFonts w:ascii="Times New Roman" w:hAnsi="Times New Roman" w:eastAsia="黑体" w:cs="Times New Roman"/>
          <w:b/>
          <w:bCs/>
          <w:color w:val="000000"/>
        </w:rPr>
        <w:t xml:space="preserve"> 201</w:t>
      </w:r>
      <w:r>
        <w:rPr>
          <w:rFonts w:hint="eastAsia" w:ascii="Times New Roman" w:hAnsi="Times New Roman" w:eastAsia="黑体" w:cs="Times New Roman"/>
          <w:b/>
          <w:bCs/>
          <w:color w:val="000000"/>
        </w:rPr>
        <w:t>8</w:t>
      </w:r>
      <w:r>
        <w:rPr>
          <w:rFonts w:hint="eastAsia" w:ascii="黑体" w:hAnsi="Times New Roman" w:eastAsia="黑体" w:cs="黑体"/>
          <w:color w:val="000000"/>
        </w:rPr>
        <w:t>用人单位对学校就业服务工作的评价</w:t>
      </w:r>
    </w:p>
    <w:p>
      <w:pPr>
        <w:spacing w:line="360" w:lineRule="auto"/>
        <w:rPr>
          <w:rFonts w:ascii="宋体" w:hAnsi="宋体" w:cs="宋体"/>
          <w:sz w:val="20"/>
          <w:szCs w:val="20"/>
        </w:rPr>
      </w:pPr>
      <w:r>
        <w:rPr>
          <w:rFonts w:hint="eastAsia" w:ascii="宋体" w:hAnsi="Times New Roman" w:eastAsia="宋体" w:cs="宋体"/>
          <w:color w:val="000000"/>
          <w:sz w:val="20"/>
          <w:szCs w:val="20"/>
        </w:rPr>
        <w:t>数据来源：第三方机构成都泽奥</w:t>
      </w:r>
      <w:r>
        <w:rPr>
          <w:rFonts w:ascii="宋体" w:hAnsi="Times New Roman" w:eastAsia="宋体" w:cs="宋体"/>
          <w:color w:val="000000"/>
          <w:sz w:val="20"/>
          <w:szCs w:val="20"/>
        </w:rPr>
        <w:t>-201</w:t>
      </w:r>
      <w:r>
        <w:rPr>
          <w:rFonts w:hint="eastAsia" w:ascii="宋体" w:hAnsi="Times New Roman" w:eastAsia="宋体" w:cs="宋体"/>
          <w:color w:val="000000"/>
          <w:sz w:val="20"/>
          <w:szCs w:val="20"/>
        </w:rPr>
        <w:t>8届毕业生就业与培养质量调查。</w:t>
      </w:r>
    </w:p>
    <w:p>
      <w:pPr>
        <w:pStyle w:val="4"/>
      </w:pPr>
      <w:bookmarkStart w:id="45" w:name="_Toc533510665"/>
      <w:r>
        <w:rPr>
          <w:rFonts w:hint="eastAsia"/>
        </w:rPr>
        <w:t>（二）就业创业服务工作的改进措施</w:t>
      </w:r>
      <w:bookmarkEnd w:id="45"/>
      <w:r>
        <w:t xml:space="preserve"> </w:t>
      </w:r>
    </w:p>
    <w:p>
      <w:pPr>
        <w:pStyle w:val="51"/>
        <w:spacing w:line="360" w:lineRule="auto"/>
        <w:ind w:firstLine="560"/>
        <w:rPr>
          <w:rFonts w:ascii="宋体" w:hAnsi="Times New Roman" w:eastAsia="宋体" w:cs="宋体"/>
          <w:color w:val="000000"/>
          <w:sz w:val="28"/>
          <w:szCs w:val="28"/>
        </w:rPr>
      </w:pPr>
      <w:r>
        <w:rPr>
          <w:rFonts w:hint="eastAsia" w:ascii="宋体" w:eastAsia="宋体" w:cs="宋体"/>
          <w:color w:val="000000"/>
          <w:sz w:val="28"/>
          <w:szCs w:val="28"/>
        </w:rPr>
        <w:t>根据调查显示，</w:t>
      </w:r>
      <w:r>
        <w:rPr>
          <w:rFonts w:ascii="Times New Roman" w:hAnsi="Times New Roman" w:eastAsia="宋体" w:cs="Times New Roman"/>
          <w:color w:val="000000"/>
          <w:sz w:val="28"/>
          <w:szCs w:val="28"/>
        </w:rPr>
        <w:t>201</w:t>
      </w:r>
      <w:r>
        <w:rPr>
          <w:rFonts w:hint="eastAsia" w:ascii="Times New Roman" w:hAnsi="Times New Roman" w:eastAsia="宋体" w:cs="Times New Roman"/>
          <w:color w:val="000000"/>
          <w:sz w:val="28"/>
          <w:szCs w:val="28"/>
        </w:rPr>
        <w:t>8</w:t>
      </w:r>
      <w:r>
        <w:rPr>
          <w:rFonts w:hint="eastAsia" w:ascii="宋体" w:hAnsi="Times New Roman" w:eastAsia="宋体" w:cs="宋体"/>
          <w:color w:val="000000"/>
          <w:sz w:val="28"/>
          <w:szCs w:val="28"/>
        </w:rPr>
        <w:t>届毕业生对母校各项就业指导服务的评价处于比较满意水平，对母校各项就业教育</w:t>
      </w:r>
      <w:r>
        <w:rPr>
          <w:rFonts w:ascii="Times New Roman" w:hAnsi="Times New Roman" w:eastAsia="宋体" w:cs="Times New Roman"/>
          <w:color w:val="000000"/>
          <w:sz w:val="28"/>
          <w:szCs w:val="28"/>
        </w:rPr>
        <w:t>/</w:t>
      </w:r>
      <w:r>
        <w:rPr>
          <w:rFonts w:hint="eastAsia" w:ascii="宋体" w:hAnsi="Times New Roman" w:eastAsia="宋体" w:cs="宋体"/>
          <w:color w:val="000000"/>
          <w:sz w:val="28"/>
          <w:szCs w:val="28"/>
        </w:rPr>
        <w:t>指导服务、创业教育</w:t>
      </w:r>
      <w:r>
        <w:rPr>
          <w:rFonts w:ascii="Times New Roman" w:hAnsi="Times New Roman" w:eastAsia="宋体" w:cs="Times New Roman"/>
          <w:color w:val="000000"/>
          <w:sz w:val="28"/>
          <w:szCs w:val="28"/>
        </w:rPr>
        <w:t>/</w:t>
      </w:r>
      <w:r>
        <w:rPr>
          <w:rFonts w:hint="eastAsia" w:ascii="宋体" w:hAnsi="Times New Roman" w:eastAsia="宋体" w:cs="宋体"/>
          <w:color w:val="000000"/>
          <w:sz w:val="28"/>
          <w:szCs w:val="28"/>
        </w:rPr>
        <w:t>指导服务的满意度均在</w:t>
      </w:r>
      <w:r>
        <w:rPr>
          <w:rFonts w:ascii="Times New Roman" w:hAnsi="Times New Roman" w:eastAsia="宋体" w:cs="Times New Roman"/>
          <w:color w:val="000000"/>
          <w:sz w:val="28"/>
          <w:szCs w:val="28"/>
        </w:rPr>
        <w:t>97.00%</w:t>
      </w:r>
      <w:r>
        <w:rPr>
          <w:rFonts w:hint="eastAsia" w:ascii="宋体" w:hAnsi="Times New Roman" w:eastAsia="宋体" w:cs="宋体"/>
          <w:color w:val="000000"/>
          <w:sz w:val="28"/>
          <w:szCs w:val="28"/>
        </w:rPr>
        <w:t>以上。</w:t>
      </w:r>
    </w:p>
    <w:p>
      <w:pPr>
        <w:pStyle w:val="51"/>
        <w:spacing w:line="360" w:lineRule="auto"/>
        <w:ind w:firstLine="560"/>
        <w:rPr>
          <w:rFonts w:ascii="宋体" w:eastAsia="宋体" w:cs="宋体"/>
          <w:color w:val="000000"/>
          <w:sz w:val="28"/>
          <w:szCs w:val="28"/>
        </w:rPr>
      </w:pPr>
      <w:r>
        <w:rPr>
          <w:rFonts w:hint="eastAsia" w:ascii="宋体" w:eastAsia="宋体" w:cs="宋体"/>
          <w:color w:val="000000"/>
          <w:sz w:val="28"/>
          <w:szCs w:val="28"/>
        </w:rPr>
        <w:t>加强对毕业生的就业服务工作、提高学生就业质量，对高职院校体制机制的完善有着重要意义，也是家长、学校以及社会关注的焦点问题之一。处于新兴产业时期下，认真对待就创业工作中的困难，有针对性的采取措施，才能保证学校健康、可持续发展。</w:t>
      </w:r>
    </w:p>
    <w:p>
      <w:pPr>
        <w:pStyle w:val="66"/>
        <w:numPr>
          <w:ilvl w:val="0"/>
          <w:numId w:val="4"/>
        </w:numPr>
        <w:spacing w:line="360" w:lineRule="auto"/>
        <w:rPr>
          <w:rFonts w:ascii="宋体" w:hAnsi="Times New Roman" w:eastAsia="宋体" w:cs="宋体"/>
          <w:color w:val="000000"/>
          <w:sz w:val="28"/>
          <w:szCs w:val="28"/>
        </w:rPr>
      </w:pPr>
      <w:r>
        <w:rPr>
          <w:rFonts w:hint="eastAsia" w:ascii="宋体" w:hAnsi="Times New Roman" w:eastAsia="宋体" w:cs="宋体"/>
          <w:color w:val="000000"/>
          <w:sz w:val="28"/>
          <w:szCs w:val="28"/>
        </w:rPr>
        <w:t>在师资建设中，特别是创业导师团队建设中注重引进企业专家作为产业、创业特聘导师，充分利用企业专家的资源整合攻关创新。同时，要重视与企业联合办学，使得培养更具针对性，学生的适用性强，也有利于他们在校和离校后的创新创业，搭建校内校外创业桥梁。</w:t>
      </w:r>
    </w:p>
    <w:p>
      <w:pPr>
        <w:pStyle w:val="66"/>
        <w:numPr>
          <w:ilvl w:val="0"/>
          <w:numId w:val="4"/>
        </w:numPr>
        <w:spacing w:line="360" w:lineRule="auto"/>
        <w:rPr>
          <w:rFonts w:ascii="宋体" w:hAnsi="Times New Roman" w:eastAsia="宋体" w:cs="宋体"/>
          <w:color w:val="000000"/>
          <w:sz w:val="28"/>
          <w:szCs w:val="28"/>
        </w:rPr>
      </w:pPr>
      <w:r>
        <w:rPr>
          <w:rFonts w:hint="eastAsia" w:ascii="宋体" w:hAnsi="Times New Roman" w:eastAsia="宋体" w:cs="宋体"/>
          <w:color w:val="000000"/>
          <w:sz w:val="28"/>
          <w:szCs w:val="28"/>
        </w:rPr>
        <w:t>多层面进行就业数据的分析应用，学校每年就各类就业调查数据中的异常点组织专题研究，提出改进相关导向和政策。在调整专业设置和分解招生计划时，也会把上一年的就业情况作为重要依据之一。学校调动专业教师和专业负责人投入各类就业调研工作，使得专业教师和负责人近距离感受就业与人才培养工作的关系，了解用人单位对学生知识、技能、素质的需求，从而完善学校人才培养建设。</w:t>
      </w:r>
    </w:p>
    <w:sectPr>
      <w:headerReference r:id="rId3" w:type="default"/>
      <w:footerReference r:id="rId4" w:type="default"/>
      <w:pgSz w:w="11906" w:h="16838"/>
      <w:pgMar w:top="1440" w:right="1080" w:bottom="1440" w:left="108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Arial">
    <w:panose1 w:val="020B0604020202020204"/>
    <w:charset w:val="00"/>
    <w:family w:val="swiss"/>
    <w:pitch w:val="default"/>
    <w:sig w:usb0="00007A87" w:usb1="80000000" w:usb2="00000008" w:usb3="00000000" w:csb0="400001FF" w:csb1="FFFF0000"/>
  </w:font>
  <w:font w:name="Courier New">
    <w:panose1 w:val="02070309020205020404"/>
    <w:charset w:val="00"/>
    <w:family w:val="modern"/>
    <w:pitch w:val="default"/>
    <w:sig w:usb0="00007A87" w:usb1="80000000" w:usb2="00000008" w:usb3="00000000" w:csb0="400001FF" w:csb1="FFFF0000"/>
  </w:font>
  <w:font w:name="Tahoma">
    <w:panose1 w:val="020B0604030504040204"/>
    <w:charset w:val="00"/>
    <w:family w:val="swiss"/>
    <w:pitch w:val="default"/>
    <w:sig w:usb0="61007A87" w:usb1="80000000" w:usb2="00000008" w:usb3="00000000" w:csb0="200101FF" w:csb1="20280000"/>
  </w:font>
  <w:font w:name="微软雅黑">
    <w:altName w:val="黑体"/>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3222572"/>
      <w:docPartObj>
        <w:docPartGallery w:val="AutoText"/>
      </w:docPartObj>
    </w:sdtPr>
    <w:sdtContent>
      <w:p>
        <w:pPr>
          <w:pStyle w:val="16"/>
          <w:jc w:val="right"/>
        </w:pPr>
        <w:r>
          <w:fldChar w:fldCharType="begin"/>
        </w:r>
        <w:r>
          <w:instrText xml:space="preserve">PAGE   \* MERGEFORMAT</w:instrText>
        </w:r>
        <w:r>
          <w:fldChar w:fldCharType="separate"/>
        </w:r>
        <w:r>
          <w:rPr>
            <w:lang w:val="zh-CN"/>
          </w:rPr>
          <w:t>27</w:t>
        </w:r>
        <w:r>
          <w:fldChar w:fldCharType="end"/>
        </w:r>
      </w:p>
    </w:sdtContent>
  </w:sdt>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3631"/>
      </w:tabs>
      <w:jc w:val="left"/>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26B29"/>
    <w:multiLevelType w:val="multilevel"/>
    <w:tmpl w:val="0F526B2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364077A3"/>
    <w:multiLevelType w:val="multilevel"/>
    <w:tmpl w:val="364077A3"/>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79911088"/>
    <w:multiLevelType w:val="multilevel"/>
    <w:tmpl w:val="79911088"/>
    <w:lvl w:ilvl="0" w:tentative="0">
      <w:start w:val="1"/>
      <w:numFmt w:val="bullet"/>
      <w:pStyle w:val="66"/>
      <w:lvlText w:val=""/>
      <w:lvlJc w:val="left"/>
      <w:pPr>
        <w:ind w:left="144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7EE26973"/>
    <w:multiLevelType w:val="multilevel"/>
    <w:tmpl w:val="7EE26973"/>
    <w:lvl w:ilvl="0" w:tentative="0">
      <w:start w:val="1"/>
      <w:numFmt w:val="decimal"/>
      <w:lvlText w:val="%1."/>
      <w:lvlJc w:val="left"/>
      <w:pPr>
        <w:ind w:left="1430" w:hanging="720"/>
      </w:pPr>
      <w:rPr>
        <w:rFonts w:hint="default"/>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45C"/>
    <w:rsid w:val="000029EC"/>
    <w:rsid w:val="000034F5"/>
    <w:rsid w:val="000164DE"/>
    <w:rsid w:val="00016D48"/>
    <w:rsid w:val="00017CA9"/>
    <w:rsid w:val="00021C90"/>
    <w:rsid w:val="00023C45"/>
    <w:rsid w:val="000270CB"/>
    <w:rsid w:val="00054CDC"/>
    <w:rsid w:val="00056FB5"/>
    <w:rsid w:val="0006061E"/>
    <w:rsid w:val="00066EBD"/>
    <w:rsid w:val="00076622"/>
    <w:rsid w:val="00077FB3"/>
    <w:rsid w:val="00084D5B"/>
    <w:rsid w:val="000861BF"/>
    <w:rsid w:val="00096003"/>
    <w:rsid w:val="000960DC"/>
    <w:rsid w:val="000A244C"/>
    <w:rsid w:val="000A2D3F"/>
    <w:rsid w:val="000B268B"/>
    <w:rsid w:val="000B39DD"/>
    <w:rsid w:val="000C1EC9"/>
    <w:rsid w:val="000D2DC3"/>
    <w:rsid w:val="000E02C6"/>
    <w:rsid w:val="000E3C8D"/>
    <w:rsid w:val="000F537E"/>
    <w:rsid w:val="000F5CA7"/>
    <w:rsid w:val="001076EE"/>
    <w:rsid w:val="0011688D"/>
    <w:rsid w:val="001229CE"/>
    <w:rsid w:val="00132BEF"/>
    <w:rsid w:val="00135C50"/>
    <w:rsid w:val="00141364"/>
    <w:rsid w:val="001445E6"/>
    <w:rsid w:val="00150B2C"/>
    <w:rsid w:val="00166AD3"/>
    <w:rsid w:val="00166C74"/>
    <w:rsid w:val="00170392"/>
    <w:rsid w:val="00170EEB"/>
    <w:rsid w:val="0019300E"/>
    <w:rsid w:val="001A2760"/>
    <w:rsid w:val="001A479B"/>
    <w:rsid w:val="001B6819"/>
    <w:rsid w:val="001B6A9C"/>
    <w:rsid w:val="001C085D"/>
    <w:rsid w:val="001C0DC6"/>
    <w:rsid w:val="001C56A4"/>
    <w:rsid w:val="001C645E"/>
    <w:rsid w:val="001C7AA3"/>
    <w:rsid w:val="001E0286"/>
    <w:rsid w:val="001E230A"/>
    <w:rsid w:val="001E3803"/>
    <w:rsid w:val="001E5764"/>
    <w:rsid w:val="00200B53"/>
    <w:rsid w:val="00201C16"/>
    <w:rsid w:val="00210BA3"/>
    <w:rsid w:val="00231E87"/>
    <w:rsid w:val="00233CAA"/>
    <w:rsid w:val="002478B3"/>
    <w:rsid w:val="00251933"/>
    <w:rsid w:val="0025582C"/>
    <w:rsid w:val="0026655F"/>
    <w:rsid w:val="00272DD0"/>
    <w:rsid w:val="002823F0"/>
    <w:rsid w:val="002827AB"/>
    <w:rsid w:val="00283CF4"/>
    <w:rsid w:val="00295360"/>
    <w:rsid w:val="002A1CFD"/>
    <w:rsid w:val="002C6884"/>
    <w:rsid w:val="002D5009"/>
    <w:rsid w:val="002E2B78"/>
    <w:rsid w:val="002F74A6"/>
    <w:rsid w:val="00310DF7"/>
    <w:rsid w:val="00314265"/>
    <w:rsid w:val="00320DB2"/>
    <w:rsid w:val="003215A0"/>
    <w:rsid w:val="00322F89"/>
    <w:rsid w:val="00323AFC"/>
    <w:rsid w:val="003332D4"/>
    <w:rsid w:val="00335653"/>
    <w:rsid w:val="00343457"/>
    <w:rsid w:val="00343B84"/>
    <w:rsid w:val="00344A01"/>
    <w:rsid w:val="003450FB"/>
    <w:rsid w:val="00345A0A"/>
    <w:rsid w:val="00347841"/>
    <w:rsid w:val="00347DFA"/>
    <w:rsid w:val="003546F9"/>
    <w:rsid w:val="003729FC"/>
    <w:rsid w:val="003A30E0"/>
    <w:rsid w:val="003A7A53"/>
    <w:rsid w:val="003B2BC8"/>
    <w:rsid w:val="003B445C"/>
    <w:rsid w:val="003C4A62"/>
    <w:rsid w:val="003D0A78"/>
    <w:rsid w:val="003D5C84"/>
    <w:rsid w:val="003D608F"/>
    <w:rsid w:val="003D6469"/>
    <w:rsid w:val="003D7A24"/>
    <w:rsid w:val="003E45B7"/>
    <w:rsid w:val="003E5266"/>
    <w:rsid w:val="003E57D4"/>
    <w:rsid w:val="003F62A2"/>
    <w:rsid w:val="00401D38"/>
    <w:rsid w:val="004109EE"/>
    <w:rsid w:val="004129F6"/>
    <w:rsid w:val="00433E23"/>
    <w:rsid w:val="004455F1"/>
    <w:rsid w:val="0045690A"/>
    <w:rsid w:val="00470FC1"/>
    <w:rsid w:val="004759FB"/>
    <w:rsid w:val="00477381"/>
    <w:rsid w:val="00492A81"/>
    <w:rsid w:val="004938F1"/>
    <w:rsid w:val="00494105"/>
    <w:rsid w:val="00497576"/>
    <w:rsid w:val="004A0762"/>
    <w:rsid w:val="004A0947"/>
    <w:rsid w:val="004B2AAB"/>
    <w:rsid w:val="004B4DAA"/>
    <w:rsid w:val="004C30CC"/>
    <w:rsid w:val="004C5972"/>
    <w:rsid w:val="004D16C9"/>
    <w:rsid w:val="004E2654"/>
    <w:rsid w:val="004F32F2"/>
    <w:rsid w:val="00503FB1"/>
    <w:rsid w:val="00514127"/>
    <w:rsid w:val="00516A5B"/>
    <w:rsid w:val="00523285"/>
    <w:rsid w:val="00525584"/>
    <w:rsid w:val="00536C18"/>
    <w:rsid w:val="00542978"/>
    <w:rsid w:val="005529C2"/>
    <w:rsid w:val="00552A9E"/>
    <w:rsid w:val="00567AC0"/>
    <w:rsid w:val="005702D7"/>
    <w:rsid w:val="005766EE"/>
    <w:rsid w:val="00584661"/>
    <w:rsid w:val="0059765D"/>
    <w:rsid w:val="005A4191"/>
    <w:rsid w:val="005B47D8"/>
    <w:rsid w:val="005B5348"/>
    <w:rsid w:val="005B6BDB"/>
    <w:rsid w:val="005C3009"/>
    <w:rsid w:val="005D2007"/>
    <w:rsid w:val="005F11D8"/>
    <w:rsid w:val="0061110A"/>
    <w:rsid w:val="00611A82"/>
    <w:rsid w:val="006167BB"/>
    <w:rsid w:val="00625321"/>
    <w:rsid w:val="006351FD"/>
    <w:rsid w:val="00642B20"/>
    <w:rsid w:val="006619F8"/>
    <w:rsid w:val="0066775D"/>
    <w:rsid w:val="0067513F"/>
    <w:rsid w:val="00682A1D"/>
    <w:rsid w:val="006833B5"/>
    <w:rsid w:val="006908DC"/>
    <w:rsid w:val="00690BCC"/>
    <w:rsid w:val="006A1DA7"/>
    <w:rsid w:val="006A6264"/>
    <w:rsid w:val="006A64CF"/>
    <w:rsid w:val="006B25CA"/>
    <w:rsid w:val="006B441D"/>
    <w:rsid w:val="006B6204"/>
    <w:rsid w:val="006B6485"/>
    <w:rsid w:val="006D09B0"/>
    <w:rsid w:val="006D6AEF"/>
    <w:rsid w:val="006E1039"/>
    <w:rsid w:val="006F2C17"/>
    <w:rsid w:val="006F315A"/>
    <w:rsid w:val="006F4429"/>
    <w:rsid w:val="006F7C0B"/>
    <w:rsid w:val="00706776"/>
    <w:rsid w:val="00726969"/>
    <w:rsid w:val="00734C30"/>
    <w:rsid w:val="00741D33"/>
    <w:rsid w:val="007445C3"/>
    <w:rsid w:val="00744625"/>
    <w:rsid w:val="00761F9E"/>
    <w:rsid w:val="00762046"/>
    <w:rsid w:val="00762A26"/>
    <w:rsid w:val="00774727"/>
    <w:rsid w:val="007768E5"/>
    <w:rsid w:val="00777E02"/>
    <w:rsid w:val="007920D7"/>
    <w:rsid w:val="0079520A"/>
    <w:rsid w:val="00795492"/>
    <w:rsid w:val="00796672"/>
    <w:rsid w:val="007B7F70"/>
    <w:rsid w:val="007D4DB7"/>
    <w:rsid w:val="007D5975"/>
    <w:rsid w:val="007E6C96"/>
    <w:rsid w:val="007F4F77"/>
    <w:rsid w:val="0080105B"/>
    <w:rsid w:val="00801AA9"/>
    <w:rsid w:val="008121C7"/>
    <w:rsid w:val="00814617"/>
    <w:rsid w:val="00816D18"/>
    <w:rsid w:val="00816D6A"/>
    <w:rsid w:val="00837C77"/>
    <w:rsid w:val="00861CE6"/>
    <w:rsid w:val="0086552D"/>
    <w:rsid w:val="008703DD"/>
    <w:rsid w:val="0087757E"/>
    <w:rsid w:val="00883D6B"/>
    <w:rsid w:val="00887732"/>
    <w:rsid w:val="008905B4"/>
    <w:rsid w:val="00890DA7"/>
    <w:rsid w:val="00894E8A"/>
    <w:rsid w:val="008A1648"/>
    <w:rsid w:val="008A414B"/>
    <w:rsid w:val="008A58DC"/>
    <w:rsid w:val="008B0825"/>
    <w:rsid w:val="008B27D5"/>
    <w:rsid w:val="008B3E25"/>
    <w:rsid w:val="008E1E4C"/>
    <w:rsid w:val="008E5365"/>
    <w:rsid w:val="008F07B4"/>
    <w:rsid w:val="008F1B1C"/>
    <w:rsid w:val="008F4DAE"/>
    <w:rsid w:val="00903DC4"/>
    <w:rsid w:val="00907F9B"/>
    <w:rsid w:val="00910B5D"/>
    <w:rsid w:val="00913EA1"/>
    <w:rsid w:val="00914A87"/>
    <w:rsid w:val="00930B15"/>
    <w:rsid w:val="00934E5A"/>
    <w:rsid w:val="0094102A"/>
    <w:rsid w:val="00951674"/>
    <w:rsid w:val="00960584"/>
    <w:rsid w:val="00962E8D"/>
    <w:rsid w:val="00966EC8"/>
    <w:rsid w:val="009771B7"/>
    <w:rsid w:val="00986A18"/>
    <w:rsid w:val="00992843"/>
    <w:rsid w:val="009A26B7"/>
    <w:rsid w:val="009A57AE"/>
    <w:rsid w:val="009A5AD2"/>
    <w:rsid w:val="009A6CA6"/>
    <w:rsid w:val="009C356E"/>
    <w:rsid w:val="009D15D9"/>
    <w:rsid w:val="009D1ED6"/>
    <w:rsid w:val="009D374A"/>
    <w:rsid w:val="009D3D98"/>
    <w:rsid w:val="009E5EDE"/>
    <w:rsid w:val="009F22B6"/>
    <w:rsid w:val="00A01C5C"/>
    <w:rsid w:val="00A1613A"/>
    <w:rsid w:val="00A16601"/>
    <w:rsid w:val="00A2469E"/>
    <w:rsid w:val="00A25F96"/>
    <w:rsid w:val="00A27869"/>
    <w:rsid w:val="00A33105"/>
    <w:rsid w:val="00A6575C"/>
    <w:rsid w:val="00A65F2E"/>
    <w:rsid w:val="00A76837"/>
    <w:rsid w:val="00A962FA"/>
    <w:rsid w:val="00AA15D6"/>
    <w:rsid w:val="00AA1D42"/>
    <w:rsid w:val="00AA1DE3"/>
    <w:rsid w:val="00AB5EEB"/>
    <w:rsid w:val="00AC1107"/>
    <w:rsid w:val="00AD0264"/>
    <w:rsid w:val="00AD2BC8"/>
    <w:rsid w:val="00AD5353"/>
    <w:rsid w:val="00AD6488"/>
    <w:rsid w:val="00AE554F"/>
    <w:rsid w:val="00AE5CC2"/>
    <w:rsid w:val="00AF1082"/>
    <w:rsid w:val="00AF4013"/>
    <w:rsid w:val="00B04E11"/>
    <w:rsid w:val="00B27892"/>
    <w:rsid w:val="00B32F57"/>
    <w:rsid w:val="00B34500"/>
    <w:rsid w:val="00B5256D"/>
    <w:rsid w:val="00B5377C"/>
    <w:rsid w:val="00B53DB5"/>
    <w:rsid w:val="00B6164B"/>
    <w:rsid w:val="00B64B14"/>
    <w:rsid w:val="00B74C63"/>
    <w:rsid w:val="00B846EA"/>
    <w:rsid w:val="00B925A5"/>
    <w:rsid w:val="00B949A0"/>
    <w:rsid w:val="00B95F79"/>
    <w:rsid w:val="00BA3E8C"/>
    <w:rsid w:val="00BA4EA9"/>
    <w:rsid w:val="00BA7157"/>
    <w:rsid w:val="00BB2BDE"/>
    <w:rsid w:val="00BB6C00"/>
    <w:rsid w:val="00BB7801"/>
    <w:rsid w:val="00BB793C"/>
    <w:rsid w:val="00BC1B64"/>
    <w:rsid w:val="00BE3F55"/>
    <w:rsid w:val="00BE7CDD"/>
    <w:rsid w:val="00BF10FF"/>
    <w:rsid w:val="00BF1CFF"/>
    <w:rsid w:val="00BF39C2"/>
    <w:rsid w:val="00C07E15"/>
    <w:rsid w:val="00C14924"/>
    <w:rsid w:val="00C25DDC"/>
    <w:rsid w:val="00C32873"/>
    <w:rsid w:val="00C35CAB"/>
    <w:rsid w:val="00C35F01"/>
    <w:rsid w:val="00C40DE3"/>
    <w:rsid w:val="00C43502"/>
    <w:rsid w:val="00C444F7"/>
    <w:rsid w:val="00C46DCC"/>
    <w:rsid w:val="00C52EA0"/>
    <w:rsid w:val="00C55C01"/>
    <w:rsid w:val="00C571A5"/>
    <w:rsid w:val="00C75511"/>
    <w:rsid w:val="00C82BBE"/>
    <w:rsid w:val="00CB116D"/>
    <w:rsid w:val="00CC30BC"/>
    <w:rsid w:val="00CC435E"/>
    <w:rsid w:val="00CC4EA7"/>
    <w:rsid w:val="00CD3A03"/>
    <w:rsid w:val="00CD593C"/>
    <w:rsid w:val="00D171BD"/>
    <w:rsid w:val="00D23148"/>
    <w:rsid w:val="00D23DD5"/>
    <w:rsid w:val="00D319EA"/>
    <w:rsid w:val="00D36364"/>
    <w:rsid w:val="00D37424"/>
    <w:rsid w:val="00D431B9"/>
    <w:rsid w:val="00D45E4D"/>
    <w:rsid w:val="00D4713B"/>
    <w:rsid w:val="00D47E00"/>
    <w:rsid w:val="00D7422D"/>
    <w:rsid w:val="00D87D13"/>
    <w:rsid w:val="00DA375F"/>
    <w:rsid w:val="00DB1711"/>
    <w:rsid w:val="00DB72B5"/>
    <w:rsid w:val="00DC1B1C"/>
    <w:rsid w:val="00DD2423"/>
    <w:rsid w:val="00DF28C1"/>
    <w:rsid w:val="00E01B73"/>
    <w:rsid w:val="00E05E9A"/>
    <w:rsid w:val="00E200A1"/>
    <w:rsid w:val="00E3586E"/>
    <w:rsid w:val="00E501ED"/>
    <w:rsid w:val="00E616BE"/>
    <w:rsid w:val="00E650B7"/>
    <w:rsid w:val="00E85F51"/>
    <w:rsid w:val="00E906A1"/>
    <w:rsid w:val="00E97E6D"/>
    <w:rsid w:val="00EA5A37"/>
    <w:rsid w:val="00EB1511"/>
    <w:rsid w:val="00EB3555"/>
    <w:rsid w:val="00EC43B9"/>
    <w:rsid w:val="00EC4E25"/>
    <w:rsid w:val="00ED1C3D"/>
    <w:rsid w:val="00ED4C1D"/>
    <w:rsid w:val="00ED5375"/>
    <w:rsid w:val="00ED6941"/>
    <w:rsid w:val="00ED72C4"/>
    <w:rsid w:val="00ED77DD"/>
    <w:rsid w:val="00EE19D9"/>
    <w:rsid w:val="00EE4D7A"/>
    <w:rsid w:val="00EE69B5"/>
    <w:rsid w:val="00EE75BA"/>
    <w:rsid w:val="00EF11C9"/>
    <w:rsid w:val="00EF525E"/>
    <w:rsid w:val="00EF6F52"/>
    <w:rsid w:val="00EF768F"/>
    <w:rsid w:val="00F077C1"/>
    <w:rsid w:val="00F07D20"/>
    <w:rsid w:val="00F217B2"/>
    <w:rsid w:val="00F31511"/>
    <w:rsid w:val="00F31C3D"/>
    <w:rsid w:val="00F342A5"/>
    <w:rsid w:val="00F36FA6"/>
    <w:rsid w:val="00F521D7"/>
    <w:rsid w:val="00F5776C"/>
    <w:rsid w:val="00F57A0C"/>
    <w:rsid w:val="00F62794"/>
    <w:rsid w:val="00F66AC5"/>
    <w:rsid w:val="00F67152"/>
    <w:rsid w:val="00F71186"/>
    <w:rsid w:val="00F71FA4"/>
    <w:rsid w:val="00F93887"/>
    <w:rsid w:val="00F9560E"/>
    <w:rsid w:val="00FA0188"/>
    <w:rsid w:val="00FB4F4A"/>
    <w:rsid w:val="00FC3FDA"/>
    <w:rsid w:val="00FD1577"/>
    <w:rsid w:val="00FE02AA"/>
    <w:rsid w:val="00FF2702"/>
    <w:rsid w:val="00FF47FD"/>
    <w:rsid w:val="00FF65AD"/>
    <w:rsid w:val="2B683C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99" w:semiHidden="0"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88" w:lineRule="auto"/>
    </w:pPr>
    <w:rPr>
      <w:rFonts w:asciiTheme="minorHAnsi" w:hAnsiTheme="minorHAnsi" w:eastAsiaTheme="minorEastAsia" w:cstheme="minorBidi"/>
      <w:iCs/>
      <w:sz w:val="21"/>
      <w:szCs w:val="21"/>
      <w:lang w:val="en-US" w:eastAsia="zh-CN" w:bidi="ar-SA"/>
    </w:rPr>
  </w:style>
  <w:style w:type="paragraph" w:styleId="2">
    <w:name w:val="heading 1"/>
    <w:basedOn w:val="1"/>
    <w:next w:val="1"/>
    <w:link w:val="53"/>
    <w:qFormat/>
    <w:uiPriority w:val="9"/>
    <w:pPr>
      <w:pBdr>
        <w:top w:val="single" w:color="B0CCB0" w:themeColor="accent2" w:sz="12" w:space="1"/>
        <w:left w:val="single" w:color="B0CCB0" w:themeColor="accent2" w:sz="12" w:space="4"/>
        <w:bottom w:val="single" w:color="B0CCB0" w:themeColor="accent2" w:sz="12" w:space="1"/>
        <w:right w:val="single" w:color="B0CCB0" w:themeColor="accent2" w:sz="12" w:space="4"/>
      </w:pBdr>
      <w:shd w:val="clear" w:color="auto" w:fill="72A376" w:themeFill="accent1"/>
      <w:spacing w:line="240" w:lineRule="auto"/>
      <w:outlineLvl w:val="0"/>
    </w:pPr>
    <w:rPr>
      <w:rFonts w:asciiTheme="majorHAnsi" w:hAnsiTheme="majorHAnsi"/>
      <w:color w:val="FFFFFF"/>
      <w:sz w:val="28"/>
      <w:szCs w:val="38"/>
    </w:rPr>
  </w:style>
  <w:style w:type="paragraph" w:styleId="3">
    <w:name w:val="heading 2"/>
    <w:basedOn w:val="1"/>
    <w:next w:val="1"/>
    <w:link w:val="54"/>
    <w:unhideWhenUsed/>
    <w:qFormat/>
    <w:uiPriority w:val="9"/>
    <w:pPr>
      <w:spacing w:before="200" w:after="60" w:line="240" w:lineRule="auto"/>
      <w:contextualSpacing/>
      <w:outlineLvl w:val="1"/>
    </w:pPr>
    <w:rPr>
      <w:rFonts w:asciiTheme="majorHAnsi" w:hAnsiTheme="majorHAnsi" w:eastAsiaTheme="majorEastAsia" w:cstheme="majorBidi"/>
      <w:b/>
      <w:bCs/>
      <w:outline/>
      <w:color w:val="72A376" w:themeColor="accent1"/>
      <w:sz w:val="34"/>
      <w:szCs w:val="34"/>
      <w14:textOutline w14:w="9525" w14:cap="flat" w14:cmpd="sng" w14:algn="ctr">
        <w14:solidFill>
          <w14:schemeClr w14:val="accent1">
            <w14:lumMod w14:val="75000"/>
          </w14:schemeClr>
        </w14:solidFill>
        <w14:prstDash w14:val="solid"/>
        <w14:round/>
      </w14:textOutline>
      <w14:textFill>
        <w14:solidFill>
          <w14:schemeClr w14:val="accent1"/>
        </w14:solidFill>
      </w14:textFill>
    </w:rPr>
  </w:style>
  <w:style w:type="paragraph" w:styleId="4">
    <w:name w:val="heading 3"/>
    <w:basedOn w:val="1"/>
    <w:next w:val="1"/>
    <w:link w:val="55"/>
    <w:unhideWhenUsed/>
    <w:qFormat/>
    <w:uiPriority w:val="9"/>
    <w:pPr>
      <w:spacing w:before="200" w:after="100" w:line="240" w:lineRule="auto"/>
      <w:contextualSpacing/>
      <w:outlineLvl w:val="2"/>
    </w:pPr>
    <w:rPr>
      <w:rFonts w:asciiTheme="majorHAnsi" w:hAnsiTheme="majorHAnsi" w:eastAsiaTheme="majorEastAsia" w:cstheme="majorBidi"/>
      <w:b/>
      <w:bCs/>
      <w:smallCaps/>
      <w:color w:val="76A776" w:themeColor="accent2" w:themeShade="BF"/>
      <w:spacing w:val="24"/>
      <w:sz w:val="28"/>
      <w:szCs w:val="22"/>
    </w:rPr>
  </w:style>
  <w:style w:type="paragraph" w:styleId="5">
    <w:name w:val="heading 4"/>
    <w:basedOn w:val="1"/>
    <w:next w:val="1"/>
    <w:link w:val="56"/>
    <w:unhideWhenUsed/>
    <w:qFormat/>
    <w:uiPriority w:val="9"/>
    <w:pPr>
      <w:spacing w:before="200" w:after="100" w:line="240" w:lineRule="auto"/>
      <w:contextualSpacing/>
      <w:outlineLvl w:val="3"/>
    </w:pPr>
    <w:rPr>
      <w:rFonts w:asciiTheme="majorHAnsi" w:hAnsiTheme="majorHAnsi" w:eastAsiaTheme="majorEastAsia" w:cstheme="majorBidi"/>
      <w:b/>
      <w:bCs/>
      <w:color w:val="527E56" w:themeColor="accent1" w:themeShade="BF"/>
      <w:sz w:val="24"/>
      <w:szCs w:val="22"/>
    </w:rPr>
  </w:style>
  <w:style w:type="paragraph" w:styleId="6">
    <w:name w:val="heading 5"/>
    <w:basedOn w:val="1"/>
    <w:next w:val="1"/>
    <w:link w:val="57"/>
    <w:unhideWhenUsed/>
    <w:qFormat/>
    <w:uiPriority w:val="9"/>
    <w:pPr>
      <w:spacing w:before="200" w:after="100" w:line="240" w:lineRule="auto"/>
      <w:contextualSpacing/>
      <w:outlineLvl w:val="4"/>
    </w:pPr>
    <w:rPr>
      <w:rFonts w:asciiTheme="majorHAnsi" w:hAnsiTheme="majorHAnsi" w:eastAsiaTheme="majorEastAsia" w:cstheme="majorBidi"/>
      <w:bCs/>
      <w:caps/>
      <w:color w:val="76A776" w:themeColor="accent2" w:themeShade="BF"/>
      <w:sz w:val="22"/>
      <w:szCs w:val="22"/>
    </w:rPr>
  </w:style>
  <w:style w:type="paragraph" w:styleId="7">
    <w:name w:val="heading 6"/>
    <w:basedOn w:val="1"/>
    <w:next w:val="1"/>
    <w:link w:val="58"/>
    <w:unhideWhenUsed/>
    <w:qFormat/>
    <w:uiPriority w:val="9"/>
    <w:pPr>
      <w:spacing w:before="200" w:after="100" w:line="240" w:lineRule="auto"/>
      <w:contextualSpacing/>
      <w:outlineLvl w:val="5"/>
    </w:pPr>
    <w:rPr>
      <w:rFonts w:asciiTheme="majorHAnsi" w:hAnsiTheme="majorHAnsi" w:eastAsiaTheme="majorEastAsia" w:cstheme="majorBidi"/>
      <w:color w:val="527E56" w:themeColor="accent1" w:themeShade="BF"/>
      <w:sz w:val="22"/>
      <w:szCs w:val="22"/>
    </w:rPr>
  </w:style>
  <w:style w:type="paragraph" w:styleId="8">
    <w:name w:val="heading 7"/>
    <w:basedOn w:val="1"/>
    <w:next w:val="1"/>
    <w:link w:val="59"/>
    <w:unhideWhenUsed/>
    <w:qFormat/>
    <w:uiPriority w:val="9"/>
    <w:pPr>
      <w:spacing w:before="200" w:after="100" w:line="240" w:lineRule="auto"/>
      <w:contextualSpacing/>
      <w:outlineLvl w:val="6"/>
    </w:pPr>
    <w:rPr>
      <w:rFonts w:asciiTheme="majorHAnsi" w:hAnsiTheme="majorHAnsi" w:eastAsiaTheme="majorEastAsia" w:cstheme="majorBidi"/>
      <w:color w:val="76A776" w:themeColor="accent2" w:themeShade="BF"/>
      <w:sz w:val="22"/>
      <w:szCs w:val="22"/>
    </w:rPr>
  </w:style>
  <w:style w:type="paragraph" w:styleId="9">
    <w:name w:val="heading 8"/>
    <w:basedOn w:val="1"/>
    <w:next w:val="1"/>
    <w:link w:val="60"/>
    <w:unhideWhenUsed/>
    <w:qFormat/>
    <w:uiPriority w:val="9"/>
    <w:pPr>
      <w:spacing w:before="200" w:after="100" w:line="240" w:lineRule="auto"/>
      <w:contextualSpacing/>
      <w:outlineLvl w:val="7"/>
    </w:pPr>
    <w:rPr>
      <w:rFonts w:asciiTheme="majorHAnsi" w:hAnsiTheme="majorHAnsi" w:eastAsiaTheme="majorEastAsia" w:cstheme="majorBidi"/>
      <w:color w:val="72A376" w:themeColor="accent1"/>
      <w:sz w:val="22"/>
      <w:szCs w:val="22"/>
      <w14:textFill>
        <w14:solidFill>
          <w14:schemeClr w14:val="accent1"/>
        </w14:solidFill>
      </w14:textFill>
    </w:rPr>
  </w:style>
  <w:style w:type="paragraph" w:styleId="10">
    <w:name w:val="heading 9"/>
    <w:basedOn w:val="1"/>
    <w:next w:val="1"/>
    <w:link w:val="61"/>
    <w:unhideWhenUsed/>
    <w:qFormat/>
    <w:uiPriority w:val="9"/>
    <w:pPr>
      <w:spacing w:before="200" w:after="100" w:line="240" w:lineRule="auto"/>
      <w:contextualSpacing/>
      <w:outlineLvl w:val="8"/>
    </w:pPr>
    <w:rPr>
      <w:rFonts w:asciiTheme="majorHAnsi" w:hAnsiTheme="majorHAnsi" w:eastAsiaTheme="majorEastAsia" w:cstheme="majorBidi"/>
      <w:smallCaps/>
      <w:color w:val="B0CCB0" w:themeColor="accent2"/>
      <w:sz w:val="20"/>
      <w14:textFill>
        <w14:solidFill>
          <w14:schemeClr w14:val="accent2"/>
        </w14:solidFill>
      </w14:textFill>
    </w:rPr>
  </w:style>
  <w:style w:type="character" w:default="1" w:styleId="24">
    <w:name w:val="Default Paragraph Font"/>
    <w:semiHidden/>
    <w:unhideWhenUsed/>
    <w:uiPriority w:val="1"/>
  </w:style>
  <w:style w:type="table" w:default="1" w:styleId="29">
    <w:name w:val="Normal Table"/>
    <w:semiHidden/>
    <w:unhideWhenUsed/>
    <w:uiPriority w:val="99"/>
    <w:tblPr>
      <w:tblLayout w:type="fixed"/>
      <w:tblCellMar>
        <w:top w:w="0" w:type="dxa"/>
        <w:left w:w="108" w:type="dxa"/>
        <w:bottom w:w="0" w:type="dxa"/>
        <w:right w:w="108" w:type="dxa"/>
      </w:tblCellMar>
    </w:tblPr>
  </w:style>
  <w:style w:type="paragraph" w:styleId="11">
    <w:name w:val="Normal Indent"/>
    <w:basedOn w:val="1"/>
    <w:semiHidden/>
    <w:unhideWhenUsed/>
    <w:uiPriority w:val="99"/>
    <w:pPr>
      <w:ind w:firstLine="420" w:firstLineChars="200"/>
    </w:pPr>
  </w:style>
  <w:style w:type="paragraph" w:styleId="12">
    <w:name w:val="caption"/>
    <w:basedOn w:val="1"/>
    <w:next w:val="1"/>
    <w:unhideWhenUsed/>
    <w:qFormat/>
    <w:uiPriority w:val="35"/>
    <w:rPr>
      <w:b/>
      <w:bCs/>
      <w:color w:val="76A776" w:themeColor="accent2" w:themeShade="BF"/>
      <w:sz w:val="18"/>
      <w:szCs w:val="18"/>
    </w:rPr>
  </w:style>
  <w:style w:type="paragraph" w:styleId="13">
    <w:name w:val="Body Text"/>
    <w:basedOn w:val="1"/>
    <w:link w:val="83"/>
    <w:qFormat/>
    <w:uiPriority w:val="0"/>
    <w:pPr>
      <w:widowControl w:val="0"/>
      <w:spacing w:after="120" w:line="240" w:lineRule="auto"/>
      <w:jc w:val="both"/>
    </w:pPr>
    <w:rPr>
      <w:rFonts w:ascii="Calibri" w:hAnsi="Calibri"/>
      <w:iCs w:val="0"/>
      <w:kern w:val="2"/>
      <w:szCs w:val="22"/>
    </w:rPr>
  </w:style>
  <w:style w:type="paragraph" w:styleId="14">
    <w:name w:val="toc 3"/>
    <w:basedOn w:val="1"/>
    <w:next w:val="1"/>
    <w:unhideWhenUsed/>
    <w:qFormat/>
    <w:uiPriority w:val="39"/>
    <w:pPr>
      <w:spacing w:after="100" w:line="276" w:lineRule="auto"/>
      <w:ind w:left="440"/>
    </w:pPr>
    <w:rPr>
      <w:iCs w:val="0"/>
      <w:sz w:val="22"/>
      <w:szCs w:val="22"/>
    </w:rPr>
  </w:style>
  <w:style w:type="paragraph" w:styleId="15">
    <w:name w:val="Balloon Text"/>
    <w:basedOn w:val="1"/>
    <w:link w:val="77"/>
    <w:semiHidden/>
    <w:unhideWhenUsed/>
    <w:uiPriority w:val="99"/>
    <w:rPr>
      <w:sz w:val="18"/>
      <w:szCs w:val="18"/>
    </w:rPr>
  </w:style>
  <w:style w:type="paragraph" w:styleId="16">
    <w:name w:val="footer"/>
    <w:basedOn w:val="1"/>
    <w:link w:val="79"/>
    <w:unhideWhenUsed/>
    <w:uiPriority w:val="99"/>
    <w:pPr>
      <w:tabs>
        <w:tab w:val="center" w:pos="4153"/>
        <w:tab w:val="right" w:pos="8306"/>
      </w:tabs>
      <w:snapToGrid w:val="0"/>
    </w:pPr>
    <w:rPr>
      <w:sz w:val="18"/>
      <w:szCs w:val="18"/>
    </w:rPr>
  </w:style>
  <w:style w:type="paragraph" w:styleId="17">
    <w:name w:val="header"/>
    <w:basedOn w:val="1"/>
    <w:link w:val="78"/>
    <w:unhideWhenUsed/>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spacing w:after="100" w:line="276" w:lineRule="auto"/>
    </w:pPr>
    <w:rPr>
      <w:iCs w:val="0"/>
      <w:sz w:val="22"/>
      <w:szCs w:val="22"/>
    </w:rPr>
  </w:style>
  <w:style w:type="paragraph" w:styleId="19">
    <w:name w:val="Subtitle"/>
    <w:basedOn w:val="1"/>
    <w:next w:val="1"/>
    <w:link w:val="63"/>
    <w:qFormat/>
    <w:uiPriority w:val="11"/>
    <w:pPr>
      <w:spacing w:before="200" w:after="360" w:line="240" w:lineRule="auto"/>
    </w:pPr>
    <w:rPr>
      <w:rFonts w:asciiTheme="majorHAnsi" w:hAnsiTheme="majorHAnsi" w:eastAsiaTheme="majorEastAsia" w:cstheme="majorBidi"/>
      <w:color w:val="676A55" w:themeColor="text2"/>
      <w:spacing w:val="20"/>
      <w:sz w:val="24"/>
      <w:szCs w:val="24"/>
      <w14:textFill>
        <w14:solidFill>
          <w14:schemeClr w14:val="tx2"/>
        </w14:solidFill>
      </w14:textFill>
    </w:rPr>
  </w:style>
  <w:style w:type="paragraph" w:styleId="20">
    <w:name w:val="footnote text"/>
    <w:basedOn w:val="1"/>
    <w:link w:val="81"/>
    <w:uiPriority w:val="99"/>
    <w:pPr>
      <w:snapToGrid w:val="0"/>
    </w:pPr>
    <w:rPr>
      <w:rFonts w:ascii="Times New Roman" w:hAnsi="Times New Roman" w:eastAsia="宋体" w:cs="Times New Roman"/>
      <w:sz w:val="18"/>
      <w:szCs w:val="18"/>
    </w:rPr>
  </w:style>
  <w:style w:type="paragraph" w:styleId="21">
    <w:name w:val="toc 2"/>
    <w:basedOn w:val="1"/>
    <w:next w:val="1"/>
    <w:unhideWhenUsed/>
    <w:qFormat/>
    <w:uiPriority w:val="39"/>
    <w:pPr>
      <w:spacing w:after="100" w:line="276" w:lineRule="auto"/>
      <w:ind w:left="220"/>
    </w:pPr>
    <w:rPr>
      <w:iCs w:val="0"/>
      <w:sz w:val="22"/>
      <w:szCs w:val="22"/>
    </w:rPr>
  </w:style>
  <w:style w:type="paragraph" w:styleId="22">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3">
    <w:name w:val="Title"/>
    <w:basedOn w:val="1"/>
    <w:next w:val="1"/>
    <w:link w:val="62"/>
    <w:qFormat/>
    <w:uiPriority w:val="10"/>
    <w:pPr>
      <w:shd w:val="clear" w:color="auto" w:fill="FFFFFF" w:themeFill="background1"/>
      <w:spacing w:after="120" w:line="240" w:lineRule="auto"/>
    </w:pPr>
    <w:rPr>
      <w:rFonts w:asciiTheme="majorHAnsi" w:hAnsiTheme="majorHAnsi" w:eastAsiaTheme="majorEastAsia"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14:textFill>
        <w14:solidFill>
          <w14:schemeClr w14:val="bg1"/>
        </w14:solidFill>
      </w14:textFill>
    </w:rPr>
  </w:style>
  <w:style w:type="character" w:styleId="25">
    <w:name w:val="Strong"/>
    <w:qFormat/>
    <w:uiPriority w:val="22"/>
    <w:rPr>
      <w:b/>
      <w:bCs/>
      <w:spacing w:val="0"/>
    </w:rPr>
  </w:style>
  <w:style w:type="character" w:styleId="26">
    <w:name w:val="Emphasis"/>
    <w:qFormat/>
    <w:uiPriority w:val="20"/>
    <w:rPr>
      <w:rFonts w:eastAsiaTheme="majorEastAsia" w:cstheme="majorBidi"/>
      <w:b/>
      <w:bCs/>
      <w:color w:val="76A776" w:themeColor="accent2" w:themeShade="BF"/>
      <w:bdr w:val="single" w:color="EAEBDE" w:themeColor="background2" w:sz="18" w:space="0"/>
      <w:shd w:val="clear" w:color="auto" w:fill="EAEBDE" w:themeFill="background2"/>
    </w:rPr>
  </w:style>
  <w:style w:type="character" w:styleId="27">
    <w:name w:val="Hyperlink"/>
    <w:uiPriority w:val="99"/>
    <w:rPr>
      <w:color w:val="333333"/>
      <w:u w:val="none"/>
    </w:rPr>
  </w:style>
  <w:style w:type="character" w:styleId="28">
    <w:name w:val="footnote reference"/>
    <w:unhideWhenUsed/>
    <w:uiPriority w:val="99"/>
    <w:rPr>
      <w:vertAlign w:val="superscript"/>
    </w:rPr>
  </w:style>
  <w:style w:type="table" w:styleId="30">
    <w:name w:val="Table Grid"/>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31">
    <w:name w:val="Light Shading Accent 1"/>
    <w:basedOn w:val="29"/>
    <w:uiPriority w:val="60"/>
    <w:pPr>
      <w:spacing w:after="0" w:line="240" w:lineRule="auto"/>
    </w:pPr>
    <w:rPr>
      <w:color w:val="527E56" w:themeColor="accent1" w:themeShade="BF"/>
    </w:rPr>
    <w:tblPr>
      <w:tblBorders>
        <w:top w:val="single" w:color="72A376" w:themeColor="accent1" w:sz="8" w:space="0"/>
        <w:bottom w:val="single" w:color="72A376" w:themeColor="accent1" w:sz="8" w:space="0"/>
      </w:tblBorders>
      <w:tblLayout w:type="fixed"/>
      <w:tblCellMar>
        <w:top w:w="0" w:type="dxa"/>
        <w:left w:w="108" w:type="dxa"/>
        <w:bottom w:w="0" w:type="dxa"/>
        <w:right w:w="108" w:type="dxa"/>
      </w:tblCellMar>
    </w:tblPr>
    <w:tblStylePr w:type="firstRow">
      <w:pPr>
        <w:spacing w:before="0" w:after="0" w:line="240" w:lineRule="auto"/>
      </w:pPr>
      <w:rPr>
        <w:b/>
        <w:bCs/>
      </w:rPr>
      <w:tblPr>
        <w:tblLayout w:type="fixed"/>
      </w:tblPr>
      <w:tcPr>
        <w:tcBorders>
          <w:top w:val="single" w:color="72A376" w:themeColor="accent1" w:sz="8" w:space="0"/>
          <w:left w:val="nil"/>
          <w:bottom w:val="single" w:color="72A376" w:themeColor="accent1" w:sz="8" w:space="0"/>
          <w:right w:val="nil"/>
          <w:insideH w:val="nil"/>
          <w:insideV w:val="nil"/>
        </w:tcBorders>
      </w:tcPr>
    </w:tblStylePr>
    <w:tblStylePr w:type="lastRow">
      <w:pPr>
        <w:spacing w:before="0" w:after="0" w:line="240" w:lineRule="auto"/>
      </w:pPr>
      <w:rPr>
        <w:b/>
        <w:bCs/>
      </w:rPr>
      <w:tblPr>
        <w:tblLayout w:type="fixed"/>
      </w:tblPr>
      <w:tcPr>
        <w:tcBorders>
          <w:top w:val="single" w:color="72A376" w:themeColor="accent1" w:sz="8" w:space="0"/>
          <w:left w:val="nil"/>
          <w:bottom w:val="single" w:color="72A376" w:themeColor="accent1"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DCE8DD" w:themeFill="accent1" w:themeFillTint="3F"/>
      </w:tcPr>
    </w:tblStylePr>
    <w:tblStylePr w:type="band1Horz">
      <w:tblPr>
        <w:tblLayout w:type="fixed"/>
      </w:tblPr>
      <w:tcPr>
        <w:tcBorders>
          <w:left w:val="nil"/>
          <w:right w:val="nil"/>
          <w:insideH w:val="nil"/>
          <w:insideV w:val="nil"/>
        </w:tcBorders>
        <w:shd w:val="clear" w:color="auto" w:fill="DCE8DD" w:themeFill="accent1" w:themeFillTint="3F"/>
      </w:tcPr>
    </w:tblStylePr>
  </w:style>
  <w:style w:type="table" w:styleId="32">
    <w:name w:val="Light Shading Accent 2"/>
    <w:basedOn w:val="29"/>
    <w:uiPriority w:val="60"/>
    <w:pPr>
      <w:spacing w:after="0" w:line="240" w:lineRule="auto"/>
    </w:pPr>
    <w:rPr>
      <w:color w:val="76A776" w:themeColor="accent2" w:themeShade="BF"/>
    </w:rPr>
    <w:tblPr>
      <w:tblBorders>
        <w:top w:val="single" w:color="B0CCB0" w:themeColor="accent2" w:sz="8" w:space="0"/>
        <w:bottom w:val="single" w:color="B0CCB0" w:themeColor="accent2" w:sz="8" w:space="0"/>
      </w:tblBorders>
      <w:tblLayout w:type="fixed"/>
      <w:tblCellMar>
        <w:top w:w="0" w:type="dxa"/>
        <w:left w:w="108" w:type="dxa"/>
        <w:bottom w:w="0" w:type="dxa"/>
        <w:right w:w="108" w:type="dxa"/>
      </w:tblCellMar>
    </w:tblPr>
    <w:tblStylePr w:type="firstRow">
      <w:pPr>
        <w:spacing w:before="0" w:after="0" w:line="240" w:lineRule="auto"/>
      </w:pPr>
      <w:rPr>
        <w:b/>
        <w:bCs/>
      </w:rPr>
      <w:tblPr>
        <w:tblLayout w:type="fixed"/>
      </w:tblPr>
      <w:tcPr>
        <w:tcBorders>
          <w:top w:val="single" w:color="B0CCB0" w:themeColor="accent2" w:sz="8" w:space="0"/>
          <w:left w:val="nil"/>
          <w:bottom w:val="single" w:color="B0CCB0" w:themeColor="accent2" w:sz="8" w:space="0"/>
          <w:right w:val="nil"/>
          <w:insideH w:val="nil"/>
          <w:insideV w:val="nil"/>
        </w:tcBorders>
      </w:tcPr>
    </w:tblStylePr>
    <w:tblStylePr w:type="lastRow">
      <w:pPr>
        <w:spacing w:before="0" w:after="0" w:line="240" w:lineRule="auto"/>
      </w:pPr>
      <w:rPr>
        <w:b/>
        <w:bCs/>
      </w:rPr>
      <w:tblPr>
        <w:tblLayout w:type="fixed"/>
      </w:tblPr>
      <w:tcPr>
        <w:tcBorders>
          <w:top w:val="single" w:color="B0CCB0" w:themeColor="accent2" w:sz="8" w:space="0"/>
          <w:left w:val="nil"/>
          <w:bottom w:val="single" w:color="B0CCB0" w:themeColor="accent2"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EBF2EB" w:themeFill="accent2" w:themeFillTint="3F"/>
      </w:tcPr>
    </w:tblStylePr>
    <w:tblStylePr w:type="band1Horz">
      <w:tblPr>
        <w:tblLayout w:type="fixed"/>
      </w:tblPr>
      <w:tcPr>
        <w:tcBorders>
          <w:left w:val="nil"/>
          <w:right w:val="nil"/>
          <w:insideH w:val="nil"/>
          <w:insideV w:val="nil"/>
        </w:tcBorders>
        <w:shd w:val="clear" w:color="auto" w:fill="EBF2EB" w:themeFill="accent2" w:themeFillTint="3F"/>
      </w:tcPr>
    </w:tblStylePr>
  </w:style>
  <w:style w:type="table" w:styleId="33">
    <w:name w:val="Light Shading Accent 3"/>
    <w:basedOn w:val="29"/>
    <w:uiPriority w:val="60"/>
    <w:rPr>
      <w:color w:val="66A7B9" w:themeColor="accent3" w:themeShade="BF"/>
    </w:rPr>
    <w:tblPr>
      <w:tblBorders>
        <w:top w:val="single" w:color="A8CDD7" w:themeColor="accent3" w:sz="8" w:space="0"/>
        <w:bottom w:val="single" w:color="A8CDD7" w:themeColor="accent3" w:sz="8" w:space="0"/>
      </w:tblBorders>
      <w:tblLayout w:type="fixed"/>
      <w:tblCellMar>
        <w:top w:w="0" w:type="dxa"/>
        <w:left w:w="108" w:type="dxa"/>
        <w:bottom w:w="0" w:type="dxa"/>
        <w:right w:w="108" w:type="dxa"/>
      </w:tblCellMar>
    </w:tblPr>
    <w:tblStylePr w:type="firstRow">
      <w:pPr>
        <w:spacing w:before="0" w:after="0" w:line="240" w:lineRule="auto"/>
      </w:pPr>
      <w:rPr>
        <w:b/>
        <w:bCs/>
      </w:rPr>
      <w:tblPr>
        <w:tblLayout w:type="fixed"/>
      </w:tblPr>
      <w:tcPr>
        <w:tcBorders>
          <w:top w:val="single" w:color="A8CDD7" w:themeColor="accent3" w:sz="8" w:space="0"/>
          <w:left w:val="nil"/>
          <w:bottom w:val="single" w:color="A8CDD7" w:themeColor="accent3" w:sz="8" w:space="0"/>
          <w:right w:val="nil"/>
          <w:insideH w:val="nil"/>
          <w:insideV w:val="nil"/>
        </w:tcBorders>
      </w:tcPr>
    </w:tblStylePr>
    <w:tblStylePr w:type="lastRow">
      <w:pPr>
        <w:spacing w:before="0" w:after="0" w:line="240" w:lineRule="auto"/>
      </w:pPr>
      <w:rPr>
        <w:b/>
        <w:bCs/>
      </w:rPr>
      <w:tblPr>
        <w:tblLayout w:type="fixed"/>
      </w:tblPr>
      <w:tcPr>
        <w:tcBorders>
          <w:top w:val="single" w:color="A8CDD7" w:themeColor="accent3" w:sz="8" w:space="0"/>
          <w:left w:val="nil"/>
          <w:bottom w:val="single" w:color="A8CDD7" w:themeColor="accent3"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E9F2F5" w:themeFill="accent3" w:themeFillTint="3F"/>
      </w:tcPr>
    </w:tblStylePr>
    <w:tblStylePr w:type="band1Horz">
      <w:tblPr>
        <w:tblLayout w:type="fixed"/>
      </w:tblPr>
      <w:tcPr>
        <w:tcBorders>
          <w:left w:val="nil"/>
          <w:right w:val="nil"/>
          <w:insideH w:val="nil"/>
          <w:insideV w:val="nil"/>
        </w:tcBorders>
        <w:shd w:val="clear" w:color="auto" w:fill="E9F2F5" w:themeFill="accent3" w:themeFillTint="3F"/>
      </w:tcPr>
    </w:tblStylePr>
  </w:style>
  <w:style w:type="table" w:styleId="34">
    <w:name w:val="Light Shading Accent 4"/>
    <w:basedOn w:val="29"/>
    <w:uiPriority w:val="60"/>
    <w:rPr>
      <w:color w:val="98947C" w:themeColor="accent4" w:themeShade="BF"/>
    </w:rPr>
    <w:tblPr>
      <w:tblBorders>
        <w:top w:val="single" w:color="C0BEAF" w:themeColor="accent4" w:sz="8" w:space="0"/>
        <w:bottom w:val="single" w:color="C0BEAF" w:themeColor="accent4" w:sz="8" w:space="0"/>
      </w:tblBorders>
      <w:tblLayout w:type="fixed"/>
      <w:tblCellMar>
        <w:top w:w="0" w:type="dxa"/>
        <w:left w:w="108" w:type="dxa"/>
        <w:bottom w:w="0" w:type="dxa"/>
        <w:right w:w="108" w:type="dxa"/>
      </w:tblCellMar>
    </w:tblPr>
    <w:tblStylePr w:type="firstRow">
      <w:pPr>
        <w:spacing w:before="0" w:after="0" w:line="240" w:lineRule="auto"/>
      </w:pPr>
      <w:rPr>
        <w:b/>
        <w:bCs/>
      </w:rPr>
      <w:tblPr>
        <w:tblLayout w:type="fixed"/>
      </w:tblPr>
      <w:tcPr>
        <w:tcBorders>
          <w:top w:val="single" w:color="C0BEAF" w:themeColor="accent4" w:sz="8" w:space="0"/>
          <w:left w:val="nil"/>
          <w:bottom w:val="single" w:color="C0BEAF" w:themeColor="accent4" w:sz="8" w:space="0"/>
          <w:right w:val="nil"/>
          <w:insideH w:val="nil"/>
          <w:insideV w:val="nil"/>
        </w:tcBorders>
      </w:tcPr>
    </w:tblStylePr>
    <w:tblStylePr w:type="lastRow">
      <w:pPr>
        <w:spacing w:before="0" w:after="0" w:line="240" w:lineRule="auto"/>
      </w:pPr>
      <w:rPr>
        <w:b/>
        <w:bCs/>
      </w:rPr>
      <w:tblPr>
        <w:tblLayout w:type="fixed"/>
      </w:tblPr>
      <w:tcPr>
        <w:tcBorders>
          <w:top w:val="single" w:color="C0BEAF" w:themeColor="accent4" w:sz="8" w:space="0"/>
          <w:left w:val="nil"/>
          <w:bottom w:val="single" w:color="C0BEAF" w:themeColor="accent4"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EFEEEB" w:themeFill="accent4" w:themeFillTint="3F"/>
      </w:tcPr>
    </w:tblStylePr>
    <w:tblStylePr w:type="band1Horz">
      <w:tblPr>
        <w:tblLayout w:type="fixed"/>
      </w:tblPr>
      <w:tcPr>
        <w:tcBorders>
          <w:left w:val="nil"/>
          <w:right w:val="nil"/>
          <w:insideH w:val="nil"/>
          <w:insideV w:val="nil"/>
        </w:tcBorders>
        <w:shd w:val="clear" w:color="auto" w:fill="EFEEEB" w:themeFill="accent4" w:themeFillTint="3F"/>
      </w:tcPr>
    </w:tblStylePr>
  </w:style>
  <w:style w:type="table" w:styleId="35">
    <w:name w:val="Light Shading Accent 5"/>
    <w:basedOn w:val="29"/>
    <w:uiPriority w:val="60"/>
    <w:rPr>
      <w:color w:val="B1A35A" w:themeColor="accent5" w:themeShade="BF"/>
    </w:rPr>
    <w:tblPr>
      <w:tblBorders>
        <w:top w:val="single" w:color="CEC597" w:themeColor="accent5" w:sz="8" w:space="0"/>
        <w:bottom w:val="single" w:color="CEC597" w:themeColor="accent5" w:sz="8" w:space="0"/>
      </w:tblBorders>
      <w:tblLayout w:type="fixed"/>
      <w:tblCellMar>
        <w:top w:w="0" w:type="dxa"/>
        <w:left w:w="108" w:type="dxa"/>
        <w:bottom w:w="0" w:type="dxa"/>
        <w:right w:w="108" w:type="dxa"/>
      </w:tblCellMar>
    </w:tblPr>
    <w:tblStylePr w:type="firstRow">
      <w:pPr>
        <w:spacing w:before="0" w:after="0" w:line="240" w:lineRule="auto"/>
      </w:pPr>
      <w:rPr>
        <w:b/>
        <w:bCs/>
      </w:rPr>
      <w:tblPr>
        <w:tblLayout w:type="fixed"/>
      </w:tblPr>
      <w:tcPr>
        <w:tcBorders>
          <w:top w:val="single" w:color="CEC597" w:themeColor="accent5" w:sz="8" w:space="0"/>
          <w:left w:val="nil"/>
          <w:bottom w:val="single" w:color="CEC597" w:themeColor="accent5" w:sz="8" w:space="0"/>
          <w:right w:val="nil"/>
          <w:insideH w:val="nil"/>
          <w:insideV w:val="nil"/>
        </w:tcBorders>
      </w:tcPr>
    </w:tblStylePr>
    <w:tblStylePr w:type="lastRow">
      <w:pPr>
        <w:spacing w:before="0" w:after="0" w:line="240" w:lineRule="auto"/>
      </w:pPr>
      <w:rPr>
        <w:b/>
        <w:bCs/>
      </w:rPr>
      <w:tblPr>
        <w:tblLayout w:type="fixed"/>
      </w:tblPr>
      <w:tcPr>
        <w:tcBorders>
          <w:top w:val="single" w:color="CEC597" w:themeColor="accent5" w:sz="8" w:space="0"/>
          <w:left w:val="nil"/>
          <w:bottom w:val="single" w:color="CEC597" w:themeColor="accent5"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F2F0E5" w:themeFill="accent5" w:themeFillTint="3F"/>
      </w:tcPr>
    </w:tblStylePr>
    <w:tblStylePr w:type="band1Horz">
      <w:tblPr>
        <w:tblLayout w:type="fixed"/>
      </w:tblPr>
      <w:tcPr>
        <w:tcBorders>
          <w:left w:val="nil"/>
          <w:right w:val="nil"/>
          <w:insideH w:val="nil"/>
          <w:insideV w:val="nil"/>
        </w:tcBorders>
        <w:shd w:val="clear" w:color="auto" w:fill="F2F0E5" w:themeFill="accent5" w:themeFillTint="3F"/>
      </w:tcPr>
    </w:tblStylePr>
  </w:style>
  <w:style w:type="table" w:styleId="36">
    <w:name w:val="Light List Accent 3"/>
    <w:basedOn w:val="29"/>
    <w:uiPriority w:val="61"/>
    <w:tblPr>
      <w:tblBorders>
        <w:top w:val="single" w:color="A8CDD7" w:themeColor="accent3" w:sz="8" w:space="0"/>
        <w:left w:val="single" w:color="A8CDD7" w:themeColor="accent3" w:sz="8" w:space="0"/>
        <w:bottom w:val="single" w:color="A8CDD7" w:themeColor="accent3" w:sz="8" w:space="0"/>
        <w:right w:val="single" w:color="A8CDD7" w:themeColor="accent3" w:sz="8" w:space="0"/>
      </w:tblBorders>
      <w:tblLayout w:type="fixed"/>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A8CDD7" w:themeFill="accent3"/>
      </w:tcPr>
    </w:tblStylePr>
    <w:tblStylePr w:type="lastRow">
      <w:pPr>
        <w:spacing w:before="0" w:after="0" w:line="240" w:lineRule="auto"/>
      </w:pPr>
      <w:rPr>
        <w:b/>
        <w:bCs/>
      </w:rPr>
      <w:tblPr>
        <w:tblLayout w:type="fixed"/>
      </w:tblPr>
      <w:tcPr>
        <w:tcBorders>
          <w:top w:val="double" w:color="A8CDD7" w:themeColor="accent3" w:sz="6" w:space="0"/>
          <w:left w:val="single" w:color="A8CDD7" w:themeColor="accent3" w:sz="8" w:space="0"/>
          <w:bottom w:val="single" w:color="A8CDD7" w:themeColor="accent3" w:sz="8" w:space="0"/>
          <w:right w:val="single" w:color="A8CDD7" w:themeColor="accent3" w:sz="8" w:space="0"/>
        </w:tcBorders>
      </w:tcPr>
    </w:tblStylePr>
    <w:tblStylePr w:type="firstCol">
      <w:rPr>
        <w:b/>
        <w:bCs/>
      </w:rPr>
    </w:tblStylePr>
    <w:tblStylePr w:type="lastCol">
      <w:rPr>
        <w:b/>
        <w:bCs/>
      </w:rPr>
    </w:tblStylePr>
    <w:tblStylePr w:type="band1Vert">
      <w:tblPr>
        <w:tblLayout w:type="fixed"/>
      </w:tblPr>
      <w:tcPr>
        <w:tcBorders>
          <w:top w:val="single" w:color="A8CDD7" w:themeColor="accent3" w:sz="8" w:space="0"/>
          <w:left w:val="single" w:color="A8CDD7" w:themeColor="accent3" w:sz="8" w:space="0"/>
          <w:bottom w:val="single" w:color="A8CDD7" w:themeColor="accent3" w:sz="8" w:space="0"/>
          <w:right w:val="single" w:color="A8CDD7" w:themeColor="accent3" w:sz="8" w:space="0"/>
        </w:tcBorders>
      </w:tcPr>
    </w:tblStylePr>
    <w:tblStylePr w:type="band1Horz">
      <w:tblPr>
        <w:tblLayout w:type="fixed"/>
      </w:tblPr>
      <w:tcPr>
        <w:tcBorders>
          <w:top w:val="single" w:color="A8CDD7" w:themeColor="accent3" w:sz="8" w:space="0"/>
          <w:left w:val="single" w:color="A8CDD7" w:themeColor="accent3" w:sz="8" w:space="0"/>
          <w:bottom w:val="single" w:color="A8CDD7" w:themeColor="accent3" w:sz="8" w:space="0"/>
          <w:right w:val="single" w:color="A8CDD7" w:themeColor="accent3" w:sz="8" w:space="0"/>
        </w:tcBorders>
      </w:tcPr>
    </w:tblStylePr>
  </w:style>
  <w:style w:type="table" w:styleId="37">
    <w:name w:val="Light List Accent 5"/>
    <w:basedOn w:val="29"/>
    <w:uiPriority w:val="61"/>
    <w:tblPr>
      <w:tblBorders>
        <w:top w:val="single" w:color="CEC597" w:themeColor="accent5" w:sz="8" w:space="0"/>
        <w:left w:val="single" w:color="CEC597" w:themeColor="accent5" w:sz="8" w:space="0"/>
        <w:bottom w:val="single" w:color="CEC597" w:themeColor="accent5" w:sz="8" w:space="0"/>
        <w:right w:val="single" w:color="CEC597" w:themeColor="accent5" w:sz="8" w:space="0"/>
      </w:tblBorders>
      <w:tblLayout w:type="fixed"/>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CEC597" w:themeFill="accent5"/>
      </w:tcPr>
    </w:tblStylePr>
    <w:tblStylePr w:type="lastRow">
      <w:pPr>
        <w:spacing w:before="0" w:after="0" w:line="240" w:lineRule="auto"/>
      </w:pPr>
      <w:rPr>
        <w:b/>
        <w:bCs/>
      </w:rPr>
      <w:tblPr>
        <w:tblLayout w:type="fixed"/>
      </w:tblPr>
      <w:tcPr>
        <w:tcBorders>
          <w:top w:val="double" w:color="CEC597" w:themeColor="accent5" w:sz="6" w:space="0"/>
          <w:left w:val="single" w:color="CEC597" w:themeColor="accent5" w:sz="8" w:space="0"/>
          <w:bottom w:val="single" w:color="CEC597" w:themeColor="accent5" w:sz="8" w:space="0"/>
          <w:right w:val="single" w:color="CEC597" w:themeColor="accent5" w:sz="8" w:space="0"/>
        </w:tcBorders>
      </w:tcPr>
    </w:tblStylePr>
    <w:tblStylePr w:type="firstCol">
      <w:rPr>
        <w:b/>
        <w:bCs/>
      </w:rPr>
    </w:tblStylePr>
    <w:tblStylePr w:type="lastCol">
      <w:rPr>
        <w:b/>
        <w:bCs/>
      </w:rPr>
    </w:tblStylePr>
    <w:tblStylePr w:type="band1Vert">
      <w:tblPr>
        <w:tblLayout w:type="fixed"/>
      </w:tblPr>
      <w:tcPr>
        <w:tcBorders>
          <w:top w:val="single" w:color="CEC597" w:themeColor="accent5" w:sz="8" w:space="0"/>
          <w:left w:val="single" w:color="CEC597" w:themeColor="accent5" w:sz="8" w:space="0"/>
          <w:bottom w:val="single" w:color="CEC597" w:themeColor="accent5" w:sz="8" w:space="0"/>
          <w:right w:val="single" w:color="CEC597" w:themeColor="accent5" w:sz="8" w:space="0"/>
        </w:tcBorders>
      </w:tcPr>
    </w:tblStylePr>
    <w:tblStylePr w:type="band1Horz">
      <w:tblPr>
        <w:tblLayout w:type="fixed"/>
      </w:tblPr>
      <w:tcPr>
        <w:tcBorders>
          <w:top w:val="single" w:color="CEC597" w:themeColor="accent5" w:sz="8" w:space="0"/>
          <w:left w:val="single" w:color="CEC597" w:themeColor="accent5" w:sz="8" w:space="0"/>
          <w:bottom w:val="single" w:color="CEC597" w:themeColor="accent5" w:sz="8" w:space="0"/>
          <w:right w:val="single" w:color="CEC597" w:themeColor="accent5" w:sz="8" w:space="0"/>
        </w:tcBorders>
      </w:tcPr>
    </w:tblStylePr>
  </w:style>
  <w:style w:type="table" w:styleId="38">
    <w:name w:val="Light Grid Accent 1"/>
    <w:basedOn w:val="29"/>
    <w:uiPriority w:val="62"/>
    <w:pPr>
      <w:spacing w:after="0" w:line="240" w:lineRule="auto"/>
    </w:pPr>
    <w:tblPr>
      <w:tblBorders>
        <w:top w:val="single" w:color="72A376" w:themeColor="accent1" w:sz="8" w:space="0"/>
        <w:left w:val="single" w:color="72A376" w:themeColor="accent1" w:sz="8" w:space="0"/>
        <w:bottom w:val="single" w:color="72A376" w:themeColor="accent1" w:sz="8" w:space="0"/>
        <w:right w:val="single" w:color="72A376" w:themeColor="accent1" w:sz="8" w:space="0"/>
        <w:insideH w:val="single" w:color="72A376" w:themeColor="accent1" w:sz="8" w:space="0"/>
        <w:insideV w:val="single" w:color="72A376" w:themeColor="accent1" w:sz="8" w:space="0"/>
      </w:tblBorders>
      <w:tblLayout w:type="fixed"/>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72A376" w:themeColor="accent1" w:sz="8" w:space="0"/>
          <w:left w:val="single" w:color="72A376" w:themeColor="accent1" w:sz="8" w:space="0"/>
          <w:bottom w:val="single" w:color="72A376" w:themeColor="accent1" w:sz="18" w:space="0"/>
          <w:right w:val="single" w:color="72A376"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72A376" w:themeColor="accent1" w:sz="6" w:space="0"/>
          <w:left w:val="single" w:color="72A376" w:themeColor="accent1" w:sz="8" w:space="0"/>
          <w:bottom w:val="single" w:color="72A376" w:themeColor="accent1" w:sz="8" w:space="0"/>
          <w:right w:val="single" w:color="72A376"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72A376" w:themeColor="accent1" w:sz="8" w:space="0"/>
          <w:left w:val="single" w:color="72A376" w:themeColor="accent1" w:sz="8" w:space="0"/>
          <w:bottom w:val="single" w:color="72A376" w:themeColor="accent1" w:sz="8" w:space="0"/>
          <w:right w:val="single" w:color="72A376" w:themeColor="accent1" w:sz="8" w:space="0"/>
        </w:tcBorders>
      </w:tcPr>
    </w:tblStylePr>
    <w:tblStylePr w:type="band1Vert">
      <w:tblPr>
        <w:tblLayout w:type="fixed"/>
      </w:tblPr>
      <w:tcPr>
        <w:tcBorders>
          <w:top w:val="single" w:color="72A376" w:themeColor="accent1" w:sz="8" w:space="0"/>
          <w:left w:val="single" w:color="72A376" w:themeColor="accent1" w:sz="8" w:space="0"/>
          <w:bottom w:val="single" w:color="72A376" w:themeColor="accent1" w:sz="8" w:space="0"/>
          <w:right w:val="single" w:color="72A376" w:themeColor="accent1" w:sz="8" w:space="0"/>
        </w:tcBorders>
        <w:shd w:val="clear" w:color="auto" w:fill="DCE8DD" w:themeFill="accent1" w:themeFillTint="3F"/>
      </w:tcPr>
    </w:tblStylePr>
    <w:tblStylePr w:type="band1Horz">
      <w:tblPr>
        <w:tblLayout w:type="fixed"/>
      </w:tblPr>
      <w:tcPr>
        <w:tcBorders>
          <w:top w:val="single" w:color="72A376" w:themeColor="accent1" w:sz="8" w:space="0"/>
          <w:left w:val="single" w:color="72A376" w:themeColor="accent1" w:sz="8" w:space="0"/>
          <w:bottom w:val="single" w:color="72A376" w:themeColor="accent1" w:sz="8" w:space="0"/>
          <w:right w:val="single" w:color="72A376" w:themeColor="accent1" w:sz="8" w:space="0"/>
          <w:insideV w:val="single" w:sz="8" w:space="0"/>
        </w:tcBorders>
        <w:shd w:val="clear" w:color="auto" w:fill="DCE8DD" w:themeFill="accent1" w:themeFillTint="3F"/>
      </w:tcPr>
    </w:tblStylePr>
    <w:tblStylePr w:type="band2Horz">
      <w:tblPr>
        <w:tblLayout w:type="fixed"/>
      </w:tblPr>
      <w:tcPr>
        <w:tcBorders>
          <w:top w:val="single" w:color="72A376" w:themeColor="accent1" w:sz="8" w:space="0"/>
          <w:left w:val="single" w:color="72A376" w:themeColor="accent1" w:sz="8" w:space="0"/>
          <w:bottom w:val="single" w:color="72A376" w:themeColor="accent1" w:sz="8" w:space="0"/>
          <w:right w:val="single" w:color="72A376" w:themeColor="accent1" w:sz="8" w:space="0"/>
          <w:insideV w:val="single" w:sz="8" w:space="0"/>
        </w:tcBorders>
      </w:tcPr>
    </w:tblStylePr>
  </w:style>
  <w:style w:type="table" w:styleId="39">
    <w:name w:val="Light Grid Accent 2"/>
    <w:basedOn w:val="29"/>
    <w:uiPriority w:val="62"/>
    <w:pPr>
      <w:spacing w:after="0" w:line="240" w:lineRule="auto"/>
    </w:pPr>
    <w:tblPr>
      <w:tblBorders>
        <w:top w:val="single" w:color="B0CCB0" w:themeColor="accent2" w:sz="8" w:space="0"/>
        <w:left w:val="single" w:color="B0CCB0" w:themeColor="accent2" w:sz="8" w:space="0"/>
        <w:bottom w:val="single" w:color="B0CCB0" w:themeColor="accent2" w:sz="8" w:space="0"/>
        <w:right w:val="single" w:color="B0CCB0" w:themeColor="accent2" w:sz="8" w:space="0"/>
        <w:insideH w:val="single" w:color="B0CCB0" w:themeColor="accent2" w:sz="8" w:space="0"/>
        <w:insideV w:val="single" w:color="B0CCB0" w:themeColor="accent2" w:sz="8" w:space="0"/>
      </w:tblBorders>
      <w:tblLayout w:type="fixed"/>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B0CCB0" w:themeColor="accent2" w:sz="8" w:space="0"/>
          <w:left w:val="single" w:color="B0CCB0" w:themeColor="accent2" w:sz="8" w:space="0"/>
          <w:bottom w:val="single" w:color="B0CCB0" w:themeColor="accent2" w:sz="18" w:space="0"/>
          <w:right w:val="single" w:color="B0CCB0"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B0CCB0" w:themeColor="accent2" w:sz="6" w:space="0"/>
          <w:left w:val="single" w:color="B0CCB0" w:themeColor="accent2" w:sz="8" w:space="0"/>
          <w:bottom w:val="single" w:color="B0CCB0" w:themeColor="accent2" w:sz="8" w:space="0"/>
          <w:right w:val="single" w:color="B0CCB0"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B0CCB0" w:themeColor="accent2" w:sz="8" w:space="0"/>
          <w:left w:val="single" w:color="B0CCB0" w:themeColor="accent2" w:sz="8" w:space="0"/>
          <w:bottom w:val="single" w:color="B0CCB0" w:themeColor="accent2" w:sz="8" w:space="0"/>
          <w:right w:val="single" w:color="B0CCB0" w:themeColor="accent2" w:sz="8" w:space="0"/>
        </w:tcBorders>
      </w:tcPr>
    </w:tblStylePr>
    <w:tblStylePr w:type="band1Vert">
      <w:tblPr>
        <w:tblLayout w:type="fixed"/>
      </w:tblPr>
      <w:tcPr>
        <w:tcBorders>
          <w:top w:val="single" w:color="B0CCB0" w:themeColor="accent2" w:sz="8" w:space="0"/>
          <w:left w:val="single" w:color="B0CCB0" w:themeColor="accent2" w:sz="8" w:space="0"/>
          <w:bottom w:val="single" w:color="B0CCB0" w:themeColor="accent2" w:sz="8" w:space="0"/>
          <w:right w:val="single" w:color="B0CCB0" w:themeColor="accent2" w:sz="8" w:space="0"/>
        </w:tcBorders>
        <w:shd w:val="clear" w:color="auto" w:fill="EBF2EB" w:themeFill="accent2" w:themeFillTint="3F"/>
      </w:tcPr>
    </w:tblStylePr>
    <w:tblStylePr w:type="band1Horz">
      <w:tblPr>
        <w:tblLayout w:type="fixed"/>
      </w:tblPr>
      <w:tcPr>
        <w:tcBorders>
          <w:top w:val="single" w:color="B0CCB0" w:themeColor="accent2" w:sz="8" w:space="0"/>
          <w:left w:val="single" w:color="B0CCB0" w:themeColor="accent2" w:sz="8" w:space="0"/>
          <w:bottom w:val="single" w:color="B0CCB0" w:themeColor="accent2" w:sz="8" w:space="0"/>
          <w:right w:val="single" w:color="B0CCB0" w:themeColor="accent2" w:sz="8" w:space="0"/>
          <w:insideV w:val="single" w:sz="8" w:space="0"/>
        </w:tcBorders>
        <w:shd w:val="clear" w:color="auto" w:fill="EBF2EB" w:themeFill="accent2" w:themeFillTint="3F"/>
      </w:tcPr>
    </w:tblStylePr>
    <w:tblStylePr w:type="band2Horz">
      <w:tblPr>
        <w:tblLayout w:type="fixed"/>
      </w:tblPr>
      <w:tcPr>
        <w:tcBorders>
          <w:top w:val="single" w:color="B0CCB0" w:themeColor="accent2" w:sz="8" w:space="0"/>
          <w:left w:val="single" w:color="B0CCB0" w:themeColor="accent2" w:sz="8" w:space="0"/>
          <w:bottom w:val="single" w:color="B0CCB0" w:themeColor="accent2" w:sz="8" w:space="0"/>
          <w:right w:val="single" w:color="B0CCB0" w:themeColor="accent2" w:sz="8" w:space="0"/>
          <w:insideV w:val="single" w:sz="8" w:space="0"/>
        </w:tcBorders>
      </w:tcPr>
    </w:tblStylePr>
  </w:style>
  <w:style w:type="table" w:styleId="40">
    <w:name w:val="Light Grid Accent 3"/>
    <w:basedOn w:val="29"/>
    <w:uiPriority w:val="62"/>
    <w:tblPr>
      <w:tblBorders>
        <w:top w:val="single" w:color="A8CDD7" w:themeColor="accent3" w:sz="8" w:space="0"/>
        <w:left w:val="single" w:color="A8CDD7" w:themeColor="accent3" w:sz="8" w:space="0"/>
        <w:bottom w:val="single" w:color="A8CDD7" w:themeColor="accent3" w:sz="8" w:space="0"/>
        <w:right w:val="single" w:color="A8CDD7" w:themeColor="accent3" w:sz="8" w:space="0"/>
        <w:insideH w:val="single" w:color="A8CDD7" w:themeColor="accent3" w:sz="8" w:space="0"/>
        <w:insideV w:val="single" w:color="A8CDD7" w:themeColor="accent3" w:sz="8" w:space="0"/>
      </w:tblBorders>
      <w:tblLayout w:type="fixed"/>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A8CDD7" w:themeColor="accent3" w:sz="8" w:space="0"/>
          <w:left w:val="single" w:color="A8CDD7" w:themeColor="accent3" w:sz="8" w:space="0"/>
          <w:bottom w:val="single" w:color="A8CDD7" w:themeColor="accent3" w:sz="18" w:space="0"/>
          <w:right w:val="single" w:color="A8CDD7"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A8CDD7" w:themeColor="accent3" w:sz="6" w:space="0"/>
          <w:left w:val="single" w:color="A8CDD7" w:themeColor="accent3" w:sz="8" w:space="0"/>
          <w:bottom w:val="single" w:color="A8CDD7" w:themeColor="accent3" w:sz="8" w:space="0"/>
          <w:right w:val="single" w:color="A8CDD7"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A8CDD7" w:themeColor="accent3" w:sz="8" w:space="0"/>
          <w:left w:val="single" w:color="A8CDD7" w:themeColor="accent3" w:sz="8" w:space="0"/>
          <w:bottom w:val="single" w:color="A8CDD7" w:themeColor="accent3" w:sz="8" w:space="0"/>
          <w:right w:val="single" w:color="A8CDD7" w:themeColor="accent3" w:sz="8" w:space="0"/>
        </w:tcBorders>
      </w:tcPr>
    </w:tblStylePr>
    <w:tblStylePr w:type="band1Vert">
      <w:tblPr>
        <w:tblLayout w:type="fixed"/>
      </w:tblPr>
      <w:tcPr>
        <w:tcBorders>
          <w:top w:val="single" w:color="A8CDD7" w:themeColor="accent3" w:sz="8" w:space="0"/>
          <w:left w:val="single" w:color="A8CDD7" w:themeColor="accent3" w:sz="8" w:space="0"/>
          <w:bottom w:val="single" w:color="A8CDD7" w:themeColor="accent3" w:sz="8" w:space="0"/>
          <w:right w:val="single" w:color="A8CDD7" w:themeColor="accent3" w:sz="8" w:space="0"/>
        </w:tcBorders>
        <w:shd w:val="clear" w:color="auto" w:fill="E9F2F5" w:themeFill="accent3" w:themeFillTint="3F"/>
      </w:tcPr>
    </w:tblStylePr>
    <w:tblStylePr w:type="band1Horz">
      <w:tblPr>
        <w:tblLayout w:type="fixed"/>
      </w:tblPr>
      <w:tcPr>
        <w:tcBorders>
          <w:top w:val="single" w:color="A8CDD7" w:themeColor="accent3" w:sz="8" w:space="0"/>
          <w:left w:val="single" w:color="A8CDD7" w:themeColor="accent3" w:sz="8" w:space="0"/>
          <w:bottom w:val="single" w:color="A8CDD7" w:themeColor="accent3" w:sz="8" w:space="0"/>
          <w:right w:val="single" w:color="A8CDD7" w:themeColor="accent3" w:sz="8" w:space="0"/>
          <w:insideV w:val="single" w:sz="8" w:space="0"/>
        </w:tcBorders>
        <w:shd w:val="clear" w:color="auto" w:fill="E9F2F5" w:themeFill="accent3" w:themeFillTint="3F"/>
      </w:tcPr>
    </w:tblStylePr>
    <w:tblStylePr w:type="band2Horz">
      <w:tblPr>
        <w:tblLayout w:type="fixed"/>
      </w:tblPr>
      <w:tcPr>
        <w:tcBorders>
          <w:top w:val="single" w:color="A8CDD7" w:themeColor="accent3" w:sz="8" w:space="0"/>
          <w:left w:val="single" w:color="A8CDD7" w:themeColor="accent3" w:sz="8" w:space="0"/>
          <w:bottom w:val="single" w:color="A8CDD7" w:themeColor="accent3" w:sz="8" w:space="0"/>
          <w:right w:val="single" w:color="A8CDD7" w:themeColor="accent3" w:sz="8" w:space="0"/>
          <w:insideV w:val="single" w:sz="8" w:space="0"/>
        </w:tcBorders>
      </w:tcPr>
    </w:tblStylePr>
  </w:style>
  <w:style w:type="table" w:styleId="41">
    <w:name w:val="Medium Shading 1 Accent 1"/>
    <w:basedOn w:val="29"/>
    <w:uiPriority w:val="63"/>
    <w:pPr>
      <w:spacing w:after="0" w:line="240" w:lineRule="auto"/>
    </w:pPr>
    <w:tblPr>
      <w:tblBorders>
        <w:top w:val="single" w:color="95BA98" w:themeColor="accent1" w:themeTint="BF" w:sz="8" w:space="0"/>
        <w:left w:val="single" w:color="95BA98" w:themeColor="accent1" w:themeTint="BF" w:sz="8" w:space="0"/>
        <w:bottom w:val="single" w:color="95BA98" w:themeColor="accent1" w:themeTint="BF" w:sz="8" w:space="0"/>
        <w:right w:val="single" w:color="95BA98" w:themeColor="accent1" w:themeTint="BF" w:sz="8" w:space="0"/>
        <w:insideH w:val="single" w:color="95BA98" w:themeColor="accent1" w:themeTint="BF" w:sz="8" w:space="0"/>
      </w:tblBorders>
      <w:tblLayout w:type="fixed"/>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95BA98" w:themeColor="accent1" w:themeTint="BF" w:sz="8" w:space="0"/>
          <w:left w:val="single" w:color="95BA98" w:themeColor="accent1" w:themeTint="BF" w:sz="8" w:space="0"/>
          <w:bottom w:val="single" w:color="95BA98" w:themeColor="accent1" w:themeTint="BF" w:sz="8" w:space="0"/>
          <w:right w:val="single" w:color="95BA98" w:themeColor="accent1" w:themeTint="BF" w:sz="8" w:space="0"/>
          <w:insideH w:val="nil"/>
          <w:insideV w:val="nil"/>
        </w:tcBorders>
        <w:shd w:val="clear" w:color="auto" w:fill="72A376" w:themeFill="accent1"/>
      </w:tcPr>
    </w:tblStylePr>
    <w:tblStylePr w:type="lastRow">
      <w:pPr>
        <w:spacing w:before="0" w:after="0" w:line="240" w:lineRule="auto"/>
      </w:pPr>
      <w:rPr>
        <w:b/>
        <w:bCs/>
      </w:rPr>
      <w:tblPr>
        <w:tblLayout w:type="fixed"/>
      </w:tblPr>
      <w:tcPr>
        <w:tcBorders>
          <w:top w:val="double" w:color="95BA98" w:themeColor="accent1" w:themeTint="BF" w:sz="6" w:space="0"/>
          <w:left w:val="single" w:color="95BA98" w:themeColor="accent1" w:themeTint="BF" w:sz="8" w:space="0"/>
          <w:bottom w:val="single" w:color="95BA98" w:themeColor="accent1" w:themeTint="BF" w:sz="8" w:space="0"/>
          <w:right w:val="single" w:color="95BA98" w:themeColor="accent1" w:themeTint="BF" w:sz="8" w:space="0"/>
          <w:insideH w:val="nil"/>
          <w:insideV w:val="nil"/>
        </w:tcBorders>
      </w:tcPr>
    </w:tblStylePr>
    <w:tblStylePr w:type="firstCol">
      <w:rPr>
        <w:b/>
        <w:bCs/>
      </w:rPr>
    </w:tblStylePr>
    <w:tblStylePr w:type="lastCol">
      <w:rPr>
        <w:b/>
        <w:bCs/>
      </w:rPr>
    </w:tblStylePr>
    <w:tblStylePr w:type="band1Vert">
      <w:tblPr>
        <w:tblLayout w:type="fixed"/>
      </w:tblPr>
      <w:tcPr>
        <w:shd w:val="clear" w:color="auto" w:fill="DCE8DD" w:themeFill="accent1" w:themeFillTint="3F"/>
      </w:tcPr>
    </w:tblStylePr>
    <w:tblStylePr w:type="band1Horz">
      <w:tblPr>
        <w:tblLayout w:type="fixed"/>
      </w:tblPr>
      <w:tcPr>
        <w:tcBorders>
          <w:insideH w:val="nil"/>
          <w:insideV w:val="nil"/>
        </w:tcBorders>
        <w:shd w:val="clear" w:color="auto" w:fill="DCE8DD" w:themeFill="accent1" w:themeFillTint="3F"/>
      </w:tcPr>
    </w:tblStylePr>
    <w:tblStylePr w:type="band2Horz">
      <w:tblPr>
        <w:tblLayout w:type="fixed"/>
      </w:tblPr>
      <w:tcPr>
        <w:tcBorders>
          <w:insideH w:val="nil"/>
          <w:insideV w:val="nil"/>
        </w:tcBorders>
      </w:tcPr>
    </w:tblStylePr>
  </w:style>
  <w:style w:type="table" w:styleId="42">
    <w:name w:val="Medium Shading 1 Accent 2"/>
    <w:basedOn w:val="29"/>
    <w:uiPriority w:val="63"/>
    <w:pPr>
      <w:spacing w:after="0" w:line="240" w:lineRule="auto"/>
    </w:pPr>
    <w:tblPr>
      <w:tblBorders>
        <w:top w:val="single" w:color="C3D8C3" w:themeColor="accent2" w:themeTint="BF" w:sz="8" w:space="0"/>
        <w:left w:val="single" w:color="C3D8C3" w:themeColor="accent2" w:themeTint="BF" w:sz="8" w:space="0"/>
        <w:bottom w:val="single" w:color="C3D8C3" w:themeColor="accent2" w:themeTint="BF" w:sz="8" w:space="0"/>
        <w:right w:val="single" w:color="C3D8C3" w:themeColor="accent2" w:themeTint="BF" w:sz="8" w:space="0"/>
        <w:insideH w:val="single" w:color="C3D8C3" w:themeColor="accent2" w:themeTint="BF" w:sz="8" w:space="0"/>
      </w:tblBorders>
      <w:tblLayout w:type="fixed"/>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C3D8C3" w:themeColor="accent2" w:themeTint="BF" w:sz="8" w:space="0"/>
          <w:left w:val="single" w:color="C3D8C3" w:themeColor="accent2" w:themeTint="BF" w:sz="8" w:space="0"/>
          <w:bottom w:val="single" w:color="C3D8C3" w:themeColor="accent2" w:themeTint="BF" w:sz="8" w:space="0"/>
          <w:right w:val="single" w:color="C3D8C3" w:themeColor="accent2" w:themeTint="BF" w:sz="8" w:space="0"/>
          <w:insideH w:val="nil"/>
          <w:insideV w:val="nil"/>
        </w:tcBorders>
        <w:shd w:val="clear" w:color="auto" w:fill="B0CCB0" w:themeFill="accent2"/>
      </w:tcPr>
    </w:tblStylePr>
    <w:tblStylePr w:type="lastRow">
      <w:pPr>
        <w:spacing w:before="0" w:after="0" w:line="240" w:lineRule="auto"/>
      </w:pPr>
      <w:rPr>
        <w:b/>
        <w:bCs/>
      </w:rPr>
      <w:tblPr>
        <w:tblLayout w:type="fixed"/>
      </w:tblPr>
      <w:tcPr>
        <w:tcBorders>
          <w:top w:val="double" w:color="C3D8C3" w:themeColor="accent2" w:themeTint="BF" w:sz="6" w:space="0"/>
          <w:left w:val="single" w:color="C3D8C3" w:themeColor="accent2" w:themeTint="BF" w:sz="8" w:space="0"/>
          <w:bottom w:val="single" w:color="C3D8C3" w:themeColor="accent2" w:themeTint="BF" w:sz="8" w:space="0"/>
          <w:right w:val="single" w:color="C3D8C3" w:themeColor="accent2" w:themeTint="BF" w:sz="8" w:space="0"/>
          <w:insideH w:val="nil"/>
          <w:insideV w:val="nil"/>
        </w:tcBorders>
      </w:tcPr>
    </w:tblStylePr>
    <w:tblStylePr w:type="firstCol">
      <w:rPr>
        <w:b/>
        <w:bCs/>
      </w:rPr>
    </w:tblStylePr>
    <w:tblStylePr w:type="lastCol">
      <w:rPr>
        <w:b/>
        <w:bCs/>
      </w:rPr>
    </w:tblStylePr>
    <w:tblStylePr w:type="band1Vert">
      <w:tblPr>
        <w:tblLayout w:type="fixed"/>
      </w:tblPr>
      <w:tcPr>
        <w:shd w:val="clear" w:color="auto" w:fill="EBF2EB" w:themeFill="accent2" w:themeFillTint="3F"/>
      </w:tcPr>
    </w:tblStylePr>
    <w:tblStylePr w:type="band1Horz">
      <w:tblPr>
        <w:tblLayout w:type="fixed"/>
      </w:tblPr>
      <w:tcPr>
        <w:tcBorders>
          <w:insideH w:val="nil"/>
          <w:insideV w:val="nil"/>
        </w:tcBorders>
        <w:shd w:val="clear" w:color="auto" w:fill="EBF2EB" w:themeFill="accent2" w:themeFillTint="3F"/>
      </w:tcPr>
    </w:tblStylePr>
    <w:tblStylePr w:type="band2Horz">
      <w:tblPr>
        <w:tblLayout w:type="fixed"/>
      </w:tblPr>
      <w:tcPr>
        <w:tcBorders>
          <w:insideH w:val="nil"/>
          <w:insideV w:val="nil"/>
        </w:tcBorders>
      </w:tcPr>
    </w:tblStylePr>
  </w:style>
  <w:style w:type="table" w:styleId="43">
    <w:name w:val="Medium Shading 1 Accent 3"/>
    <w:basedOn w:val="29"/>
    <w:uiPriority w:val="63"/>
    <w:tblPr>
      <w:tblBorders>
        <w:top w:val="single" w:color="BDD9E1" w:themeColor="accent3" w:themeTint="BF" w:sz="8" w:space="0"/>
        <w:left w:val="single" w:color="BDD9E1" w:themeColor="accent3" w:themeTint="BF" w:sz="8" w:space="0"/>
        <w:bottom w:val="single" w:color="BDD9E1" w:themeColor="accent3" w:themeTint="BF" w:sz="8" w:space="0"/>
        <w:right w:val="single" w:color="BDD9E1" w:themeColor="accent3" w:themeTint="BF" w:sz="8" w:space="0"/>
        <w:insideH w:val="single" w:color="BDD9E1" w:themeColor="accent3" w:themeTint="BF" w:sz="8" w:space="0"/>
      </w:tblBorders>
      <w:tblLayout w:type="fixed"/>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BDD9E1" w:themeColor="accent3" w:themeTint="BF" w:sz="8" w:space="0"/>
          <w:left w:val="single" w:color="BDD9E1" w:themeColor="accent3" w:themeTint="BF" w:sz="8" w:space="0"/>
          <w:bottom w:val="single" w:color="BDD9E1" w:themeColor="accent3" w:themeTint="BF" w:sz="8" w:space="0"/>
          <w:right w:val="single" w:color="BDD9E1" w:themeColor="accent3" w:themeTint="BF" w:sz="8" w:space="0"/>
          <w:insideH w:val="nil"/>
          <w:insideV w:val="nil"/>
        </w:tcBorders>
        <w:shd w:val="clear" w:color="auto" w:fill="A8CDD7" w:themeFill="accent3"/>
      </w:tcPr>
    </w:tblStylePr>
    <w:tblStylePr w:type="lastRow">
      <w:pPr>
        <w:spacing w:before="0" w:after="0" w:line="240" w:lineRule="auto"/>
      </w:pPr>
      <w:rPr>
        <w:b/>
        <w:bCs/>
      </w:rPr>
      <w:tblPr>
        <w:tblLayout w:type="fixed"/>
      </w:tblPr>
      <w:tcPr>
        <w:tcBorders>
          <w:top w:val="double" w:color="BDD9E1" w:themeColor="accent3" w:themeTint="BF" w:sz="6" w:space="0"/>
          <w:left w:val="single" w:color="BDD9E1" w:themeColor="accent3" w:themeTint="BF" w:sz="8" w:space="0"/>
          <w:bottom w:val="single" w:color="BDD9E1" w:themeColor="accent3" w:themeTint="BF" w:sz="8" w:space="0"/>
          <w:right w:val="single" w:color="BDD9E1" w:themeColor="accent3" w:themeTint="BF" w:sz="8" w:space="0"/>
          <w:insideH w:val="nil"/>
          <w:insideV w:val="nil"/>
        </w:tcBorders>
      </w:tcPr>
    </w:tblStylePr>
    <w:tblStylePr w:type="firstCol">
      <w:rPr>
        <w:b/>
        <w:bCs/>
      </w:rPr>
    </w:tblStylePr>
    <w:tblStylePr w:type="lastCol">
      <w:rPr>
        <w:b/>
        <w:bCs/>
      </w:rPr>
    </w:tblStylePr>
    <w:tblStylePr w:type="band1Vert">
      <w:tblPr>
        <w:tblLayout w:type="fixed"/>
      </w:tblPr>
      <w:tcPr>
        <w:shd w:val="clear" w:color="auto" w:fill="E9F2F5" w:themeFill="accent3" w:themeFillTint="3F"/>
      </w:tcPr>
    </w:tblStylePr>
    <w:tblStylePr w:type="band1Horz">
      <w:tblPr>
        <w:tblLayout w:type="fixed"/>
      </w:tblPr>
      <w:tcPr>
        <w:tcBorders>
          <w:insideH w:val="nil"/>
          <w:insideV w:val="nil"/>
        </w:tcBorders>
        <w:shd w:val="clear" w:color="auto" w:fill="E9F2F5" w:themeFill="accent3" w:themeFillTint="3F"/>
      </w:tcPr>
    </w:tblStylePr>
    <w:tblStylePr w:type="band2Horz">
      <w:tblPr>
        <w:tblLayout w:type="fixed"/>
      </w:tblPr>
      <w:tcPr>
        <w:tcBorders>
          <w:insideH w:val="nil"/>
          <w:insideV w:val="nil"/>
        </w:tcBorders>
      </w:tcPr>
    </w:tblStylePr>
  </w:style>
  <w:style w:type="table" w:styleId="44">
    <w:name w:val="Medium Shading 2 Accent 1"/>
    <w:basedOn w:val="29"/>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shd w:val="clear" w:color="auto" w:fill="72A376" w:themeFill="accent1"/>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blLayout w:type="fixed"/>
      </w:tblPr>
      <w:tcPr>
        <w:tcBorders>
          <w:top w:val="nil"/>
          <w:left w:val="nil"/>
          <w:bottom w:val="single" w:color="auto" w:sz="18" w:space="0"/>
          <w:right w:val="nil"/>
          <w:insideH w:val="nil"/>
          <w:insideV w:val="nil"/>
        </w:tcBorders>
        <w:shd w:val="clear" w:color="auto" w:fill="72A376" w:themeFill="accent1"/>
      </w:tcPr>
    </w:tblStylePr>
    <w:tblStylePr w:type="lastCol">
      <w:rPr>
        <w:b/>
        <w:bCs/>
        <w:color w:val="FFFFFF" w:themeColor="background1"/>
        <w14:textFill>
          <w14:solidFill>
            <w14:schemeClr w14:val="bg1"/>
          </w14:solidFill>
        </w14:textFill>
      </w:rPr>
      <w:tblPr>
        <w:tblLayout w:type="fixed"/>
      </w:tblPr>
      <w:tcPr>
        <w:tcBorders>
          <w:left w:val="nil"/>
          <w:right w:val="nil"/>
          <w:insideH w:val="nil"/>
          <w:insideV w:val="nil"/>
        </w:tcBorders>
        <w:shd w:val="clear" w:color="auto" w:fill="72A376" w:themeFill="accent1"/>
      </w:tcPr>
    </w:tblStylePr>
    <w:tblStylePr w:type="band1Vert">
      <w:tblPr>
        <w:tblLayout w:type="fixed"/>
      </w:tblPr>
      <w:tcPr>
        <w:tcBorders>
          <w:left w:val="nil"/>
          <w:right w:val="nil"/>
          <w:insideH w:val="nil"/>
          <w:insideV w:val="nil"/>
        </w:tcBorders>
        <w:shd w:val="clear" w:color="auto" w:fill="D7D7D7" w:themeFill="background1" w:themeFillShade="D8"/>
      </w:tcPr>
    </w:tblStylePr>
    <w:tblStylePr w:type="band1Horz">
      <w:tblPr>
        <w:tblLayout w:type="fixed"/>
      </w:tblPr>
      <w:tcPr>
        <w:shd w:val="clear" w:color="auto" w:fill="D7D7D7" w:themeFill="background1" w:themeFillShade="D8"/>
      </w:tcPr>
    </w:tblStylePr>
    <w:tblStylePr w:type="neCell">
      <w:tblPr>
        <w:tblLayout w:type="fixed"/>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tcPr>
    </w:tblStylePr>
  </w:style>
  <w:style w:type="table" w:styleId="45">
    <w:name w:val="Medium Shading 2 Accent 5"/>
    <w:basedOn w:val="29"/>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shd w:val="clear" w:color="auto" w:fill="CEC597" w:themeFill="accent5"/>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blLayout w:type="fixed"/>
      </w:tblPr>
      <w:tcPr>
        <w:tcBorders>
          <w:top w:val="nil"/>
          <w:left w:val="nil"/>
          <w:bottom w:val="single" w:color="auto" w:sz="18" w:space="0"/>
          <w:right w:val="nil"/>
          <w:insideH w:val="nil"/>
          <w:insideV w:val="nil"/>
        </w:tcBorders>
        <w:shd w:val="clear" w:color="auto" w:fill="CEC597" w:themeFill="accent5"/>
      </w:tcPr>
    </w:tblStylePr>
    <w:tblStylePr w:type="lastCol">
      <w:rPr>
        <w:b/>
        <w:bCs/>
        <w:color w:val="FFFFFF" w:themeColor="background1"/>
        <w14:textFill>
          <w14:solidFill>
            <w14:schemeClr w14:val="bg1"/>
          </w14:solidFill>
        </w14:textFill>
      </w:rPr>
      <w:tblPr>
        <w:tblLayout w:type="fixed"/>
      </w:tblPr>
      <w:tcPr>
        <w:tcBorders>
          <w:left w:val="nil"/>
          <w:right w:val="nil"/>
          <w:insideH w:val="nil"/>
          <w:insideV w:val="nil"/>
        </w:tcBorders>
        <w:shd w:val="clear" w:color="auto" w:fill="CEC597" w:themeFill="accent5"/>
      </w:tcPr>
    </w:tblStylePr>
    <w:tblStylePr w:type="band1Vert">
      <w:tblPr>
        <w:tblLayout w:type="fixed"/>
      </w:tblPr>
      <w:tcPr>
        <w:tcBorders>
          <w:left w:val="nil"/>
          <w:right w:val="nil"/>
          <w:insideH w:val="nil"/>
          <w:insideV w:val="nil"/>
        </w:tcBorders>
        <w:shd w:val="clear" w:color="auto" w:fill="D7D7D7" w:themeFill="background1" w:themeFillShade="D8"/>
      </w:tcPr>
    </w:tblStylePr>
    <w:tblStylePr w:type="band1Horz">
      <w:tblPr>
        <w:tblLayout w:type="fixed"/>
      </w:tblPr>
      <w:tcPr>
        <w:shd w:val="clear" w:color="auto" w:fill="D7D7D7" w:themeFill="background1" w:themeFillShade="D8"/>
      </w:tcPr>
    </w:tblStylePr>
    <w:tblStylePr w:type="neCell">
      <w:tblPr>
        <w:tblLayout w:type="fixed"/>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tcPr>
    </w:tblStylePr>
  </w:style>
  <w:style w:type="table" w:styleId="46">
    <w:name w:val="Medium List 1 Accent 1"/>
    <w:basedOn w:val="29"/>
    <w:uiPriority w:val="65"/>
    <w:pPr>
      <w:spacing w:after="0" w:line="240" w:lineRule="auto"/>
    </w:pPr>
    <w:rPr>
      <w:color w:val="000000" w:themeColor="text1"/>
      <w14:textFill>
        <w14:solidFill>
          <w14:schemeClr w14:val="tx1"/>
        </w14:solidFill>
      </w14:textFill>
    </w:rPr>
    <w:tblPr>
      <w:tblBorders>
        <w:top w:val="single" w:color="72A376" w:themeColor="accent1" w:sz="8" w:space="0"/>
        <w:bottom w:val="single" w:color="72A376" w:themeColor="accent1" w:sz="8" w:space="0"/>
      </w:tblBorders>
      <w:tblLayout w:type="fixed"/>
      <w:tblCellMar>
        <w:top w:w="0" w:type="dxa"/>
        <w:left w:w="108" w:type="dxa"/>
        <w:bottom w:w="0" w:type="dxa"/>
        <w:right w:w="108" w:type="dxa"/>
      </w:tblCellMar>
    </w:tblPr>
    <w:tblStylePr w:type="firstRow">
      <w:rPr>
        <w:rFonts w:asciiTheme="majorHAnsi" w:hAnsiTheme="majorHAnsi" w:eastAsiaTheme="majorEastAsia" w:cstheme="majorBidi"/>
      </w:rPr>
      <w:tblPr>
        <w:tblLayout w:type="fixed"/>
      </w:tblPr>
      <w:tcPr>
        <w:tcBorders>
          <w:top w:val="nil"/>
          <w:bottom w:val="single" w:color="72A376" w:themeColor="accent1" w:sz="8" w:space="0"/>
        </w:tcBorders>
      </w:tcPr>
    </w:tblStylePr>
    <w:tblStylePr w:type="lastRow">
      <w:rPr>
        <w:b/>
        <w:bCs/>
        <w:color w:val="676A55" w:themeColor="text2"/>
        <w14:textFill>
          <w14:solidFill>
            <w14:schemeClr w14:val="tx2"/>
          </w14:solidFill>
        </w14:textFill>
      </w:rPr>
      <w:tblPr>
        <w:tblLayout w:type="fixed"/>
      </w:tblPr>
      <w:tcPr>
        <w:tcBorders>
          <w:top w:val="single" w:color="72A376" w:themeColor="accent1" w:sz="8" w:space="0"/>
          <w:bottom w:val="single" w:color="72A376" w:themeColor="accent1" w:sz="8" w:space="0"/>
        </w:tcBorders>
      </w:tcPr>
    </w:tblStylePr>
    <w:tblStylePr w:type="firstCol">
      <w:rPr>
        <w:b/>
        <w:bCs/>
      </w:rPr>
    </w:tblStylePr>
    <w:tblStylePr w:type="lastCol">
      <w:rPr>
        <w:b/>
        <w:bCs/>
      </w:rPr>
      <w:tblPr>
        <w:tblLayout w:type="fixed"/>
      </w:tblPr>
      <w:tcPr>
        <w:tcBorders>
          <w:top w:val="single" w:color="72A376" w:themeColor="accent1" w:sz="8" w:space="0"/>
          <w:bottom w:val="single" w:color="72A376" w:themeColor="accent1" w:sz="8" w:space="0"/>
        </w:tcBorders>
      </w:tcPr>
    </w:tblStylePr>
    <w:tblStylePr w:type="band1Vert">
      <w:tblPr>
        <w:tblLayout w:type="fixed"/>
      </w:tblPr>
      <w:tcPr>
        <w:shd w:val="clear" w:color="auto" w:fill="DCE8DD" w:themeFill="accent1" w:themeFillTint="3F"/>
      </w:tcPr>
    </w:tblStylePr>
    <w:tblStylePr w:type="band1Horz">
      <w:tblPr>
        <w:tblLayout w:type="fixed"/>
      </w:tblPr>
      <w:tcPr>
        <w:shd w:val="clear" w:color="auto" w:fill="DCE8DD" w:themeFill="accent1" w:themeFillTint="3F"/>
      </w:tcPr>
    </w:tblStylePr>
  </w:style>
  <w:style w:type="table" w:styleId="47">
    <w:name w:val="Medium List 1 Accent 2"/>
    <w:basedOn w:val="29"/>
    <w:uiPriority w:val="65"/>
    <w:pPr>
      <w:spacing w:after="0" w:line="240" w:lineRule="auto"/>
    </w:pPr>
    <w:rPr>
      <w:color w:val="000000" w:themeColor="text1"/>
      <w14:textFill>
        <w14:solidFill>
          <w14:schemeClr w14:val="tx1"/>
        </w14:solidFill>
      </w14:textFill>
    </w:rPr>
    <w:tblPr>
      <w:tblBorders>
        <w:top w:val="single" w:color="B0CCB0" w:themeColor="accent2" w:sz="8" w:space="0"/>
        <w:bottom w:val="single" w:color="B0CCB0" w:themeColor="accent2" w:sz="8" w:space="0"/>
      </w:tblBorders>
      <w:tblLayout w:type="fixed"/>
      <w:tblCellMar>
        <w:top w:w="0" w:type="dxa"/>
        <w:left w:w="108" w:type="dxa"/>
        <w:bottom w:w="0" w:type="dxa"/>
        <w:right w:w="108" w:type="dxa"/>
      </w:tblCellMar>
    </w:tblPr>
    <w:tblStylePr w:type="firstRow">
      <w:rPr>
        <w:rFonts w:asciiTheme="majorHAnsi" w:hAnsiTheme="majorHAnsi" w:eastAsiaTheme="majorEastAsia" w:cstheme="majorBidi"/>
      </w:rPr>
      <w:tblPr>
        <w:tblLayout w:type="fixed"/>
      </w:tblPr>
      <w:tcPr>
        <w:tcBorders>
          <w:top w:val="nil"/>
          <w:bottom w:val="single" w:color="B0CCB0" w:themeColor="accent2" w:sz="8" w:space="0"/>
        </w:tcBorders>
      </w:tcPr>
    </w:tblStylePr>
    <w:tblStylePr w:type="lastRow">
      <w:rPr>
        <w:b/>
        <w:bCs/>
        <w:color w:val="676A55" w:themeColor="text2"/>
        <w14:textFill>
          <w14:solidFill>
            <w14:schemeClr w14:val="tx2"/>
          </w14:solidFill>
        </w14:textFill>
      </w:rPr>
      <w:tblPr>
        <w:tblLayout w:type="fixed"/>
      </w:tblPr>
      <w:tcPr>
        <w:tcBorders>
          <w:top w:val="single" w:color="B0CCB0" w:themeColor="accent2" w:sz="8" w:space="0"/>
          <w:bottom w:val="single" w:color="B0CCB0" w:themeColor="accent2" w:sz="8" w:space="0"/>
        </w:tcBorders>
      </w:tcPr>
    </w:tblStylePr>
    <w:tblStylePr w:type="firstCol">
      <w:rPr>
        <w:b/>
        <w:bCs/>
      </w:rPr>
    </w:tblStylePr>
    <w:tblStylePr w:type="lastCol">
      <w:rPr>
        <w:b/>
        <w:bCs/>
      </w:rPr>
      <w:tblPr>
        <w:tblLayout w:type="fixed"/>
      </w:tblPr>
      <w:tcPr>
        <w:tcBorders>
          <w:top w:val="single" w:color="B0CCB0" w:themeColor="accent2" w:sz="8" w:space="0"/>
          <w:bottom w:val="single" w:color="B0CCB0" w:themeColor="accent2" w:sz="8" w:space="0"/>
        </w:tcBorders>
      </w:tcPr>
    </w:tblStylePr>
    <w:tblStylePr w:type="band1Vert">
      <w:tblPr>
        <w:tblLayout w:type="fixed"/>
      </w:tblPr>
      <w:tcPr>
        <w:shd w:val="clear" w:color="auto" w:fill="EBF2EB" w:themeFill="accent2" w:themeFillTint="3F"/>
      </w:tcPr>
    </w:tblStylePr>
    <w:tblStylePr w:type="band1Horz">
      <w:tblPr>
        <w:tblLayout w:type="fixed"/>
      </w:tblPr>
      <w:tcPr>
        <w:shd w:val="clear" w:color="auto" w:fill="EBF2EB" w:themeFill="accent2" w:themeFillTint="3F"/>
      </w:tcPr>
    </w:tblStylePr>
  </w:style>
  <w:style w:type="table" w:styleId="48">
    <w:name w:val="Medium List 1 Accent 5"/>
    <w:basedOn w:val="29"/>
    <w:uiPriority w:val="65"/>
    <w:rPr>
      <w:color w:val="000000" w:themeColor="text1"/>
      <w14:textFill>
        <w14:solidFill>
          <w14:schemeClr w14:val="tx1"/>
        </w14:solidFill>
      </w14:textFill>
    </w:rPr>
    <w:tblPr>
      <w:tblBorders>
        <w:top w:val="single" w:color="CEC597" w:themeColor="accent5" w:sz="8" w:space="0"/>
        <w:bottom w:val="single" w:color="CEC597" w:themeColor="accent5" w:sz="8" w:space="0"/>
      </w:tblBorders>
      <w:tblLayout w:type="fixed"/>
      <w:tblCellMar>
        <w:top w:w="0" w:type="dxa"/>
        <w:left w:w="108" w:type="dxa"/>
        <w:bottom w:w="0" w:type="dxa"/>
        <w:right w:w="108" w:type="dxa"/>
      </w:tblCellMar>
    </w:tblPr>
    <w:tblStylePr w:type="firstRow">
      <w:rPr>
        <w:rFonts w:asciiTheme="majorHAnsi" w:hAnsiTheme="majorHAnsi" w:eastAsiaTheme="majorEastAsia" w:cstheme="majorBidi"/>
      </w:rPr>
      <w:tblPr>
        <w:tblLayout w:type="fixed"/>
      </w:tblPr>
      <w:tcPr>
        <w:tcBorders>
          <w:top w:val="nil"/>
          <w:bottom w:val="single" w:color="CEC597" w:themeColor="accent5" w:sz="8" w:space="0"/>
        </w:tcBorders>
      </w:tcPr>
    </w:tblStylePr>
    <w:tblStylePr w:type="lastRow">
      <w:rPr>
        <w:b/>
        <w:bCs/>
        <w:color w:val="676A55" w:themeColor="text2"/>
        <w14:textFill>
          <w14:solidFill>
            <w14:schemeClr w14:val="tx2"/>
          </w14:solidFill>
        </w14:textFill>
      </w:rPr>
      <w:tblPr>
        <w:tblLayout w:type="fixed"/>
      </w:tblPr>
      <w:tcPr>
        <w:tcBorders>
          <w:top w:val="single" w:color="CEC597" w:themeColor="accent5" w:sz="8" w:space="0"/>
          <w:bottom w:val="single" w:color="CEC597" w:themeColor="accent5" w:sz="8" w:space="0"/>
        </w:tcBorders>
      </w:tcPr>
    </w:tblStylePr>
    <w:tblStylePr w:type="firstCol">
      <w:rPr>
        <w:b/>
        <w:bCs/>
      </w:rPr>
    </w:tblStylePr>
    <w:tblStylePr w:type="lastCol">
      <w:rPr>
        <w:b/>
        <w:bCs/>
      </w:rPr>
      <w:tblPr>
        <w:tblLayout w:type="fixed"/>
      </w:tblPr>
      <w:tcPr>
        <w:tcBorders>
          <w:top w:val="single" w:color="CEC597" w:themeColor="accent5" w:sz="8" w:space="0"/>
          <w:bottom w:val="single" w:color="CEC597" w:themeColor="accent5" w:sz="8" w:space="0"/>
        </w:tcBorders>
      </w:tcPr>
    </w:tblStylePr>
    <w:tblStylePr w:type="band1Vert">
      <w:tblPr>
        <w:tblLayout w:type="fixed"/>
      </w:tblPr>
      <w:tcPr>
        <w:shd w:val="clear" w:color="auto" w:fill="F2F0E5" w:themeFill="accent5" w:themeFillTint="3F"/>
      </w:tcPr>
    </w:tblStylePr>
    <w:tblStylePr w:type="band1Horz">
      <w:tblPr>
        <w:tblLayout w:type="fixed"/>
      </w:tblPr>
      <w:tcPr>
        <w:shd w:val="clear" w:color="auto" w:fill="F2F0E5" w:themeFill="accent5" w:themeFillTint="3F"/>
      </w:tcPr>
    </w:tblStylePr>
  </w:style>
  <w:style w:type="table" w:styleId="49">
    <w:name w:val="Medium Grid 3 Accent 1"/>
    <w:basedOn w:val="29"/>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
    <w:tcPr>
      <w:shd w:val="clear" w:color="auto" w:fill="DCE8DD" w:themeFill="accent1" w:themeFillTint="3F"/>
    </w:tcPr>
    <w:tblStylePr w:type="firstRow">
      <w:rPr>
        <w:b/>
        <w:bCs/>
        <w:i w:val="0"/>
        <w:iCs w:val="0"/>
        <w:color w:val="FFFFFF" w:themeColor="background1"/>
        <w14:textFill>
          <w14:solidFill>
            <w14:schemeClr w14:val="bg1"/>
          </w14:solidFill>
        </w14:textFill>
      </w:rPr>
      <w:tblPr>
        <w:tblLayout w:type="fixed"/>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72A376" w:themeFill="accent1"/>
      </w:tcPr>
    </w:tblStylePr>
    <w:tblStylePr w:type="lastRow">
      <w:rPr>
        <w:b/>
        <w:bCs/>
        <w:i w:val="0"/>
        <w:iCs w:val="0"/>
        <w:color w:val="FFFFFF" w:themeColor="background1"/>
        <w14:textFill>
          <w14:solidFill>
            <w14:schemeClr w14:val="bg1"/>
          </w14:solidFill>
        </w14:textFill>
      </w:rPr>
      <w:tblPr>
        <w:tblLayout w:type="fixed"/>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72A376" w:themeFill="accent1"/>
      </w:tcPr>
    </w:tblStylePr>
    <w:tblStylePr w:type="firstCol">
      <w:rPr>
        <w:b/>
        <w:bCs/>
        <w:i w:val="0"/>
        <w:iCs w:val="0"/>
        <w:color w:val="FFFFFF" w:themeColor="background1"/>
        <w14:textFill>
          <w14:solidFill>
            <w14:schemeClr w14:val="bg1"/>
          </w14:solidFill>
        </w14:textFill>
      </w:rPr>
      <w:tblPr>
        <w:tblLayout w:type="fixed"/>
      </w:tblPr>
      <w:tcPr>
        <w:tcBorders>
          <w:left w:val="single" w:color="FFFFFF" w:themeColor="background1" w:sz="8" w:space="0"/>
          <w:right w:val="single" w:color="FFFFFF" w:themeColor="background1" w:sz="24" w:space="0"/>
          <w:insideH w:val="nil"/>
          <w:insideV w:val="nil"/>
        </w:tcBorders>
        <w:shd w:val="clear" w:color="auto" w:fill="72A376" w:themeFill="accent1"/>
      </w:tcPr>
    </w:tblStylePr>
    <w:tblStylePr w:type="lastCol">
      <w:rPr>
        <w:b/>
        <w:bCs/>
        <w:i w:val="0"/>
        <w:iCs w:val="0"/>
        <w:color w:val="FFFFFF" w:themeColor="background1"/>
        <w14:textFill>
          <w14:solidFill>
            <w14:schemeClr w14:val="bg1"/>
          </w14:solidFill>
        </w14:textFill>
      </w:rPr>
      <w:tblPr>
        <w:tblLayout w:type="fixed"/>
      </w:tblPr>
      <w:tcPr>
        <w:tcBorders>
          <w:top w:val="nil"/>
          <w:left w:val="single" w:color="FFFFFF" w:themeColor="background1" w:sz="24" w:space="0"/>
          <w:bottom w:val="nil"/>
          <w:right w:val="nil"/>
          <w:insideH w:val="nil"/>
          <w:insideV w:val="nil"/>
        </w:tcBorders>
        <w:shd w:val="clear" w:color="auto" w:fill="72A376" w:themeFill="accent1"/>
      </w:tcPr>
    </w:tblStylePr>
    <w:tblStylePr w:type="band1Vert">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8D1BA" w:themeFill="accent1" w:themeFillTint="7F"/>
      </w:tcPr>
    </w:tblStylePr>
    <w:tblStylePr w:type="band1Horz">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8D1BA" w:themeFill="accent1" w:themeFillTint="7F"/>
      </w:tcPr>
    </w:tblStylePr>
  </w:style>
  <w:style w:type="table" w:styleId="50">
    <w:name w:val="Medium Grid 3 Accent 5"/>
    <w:basedOn w:val="29"/>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
    <w:tcPr>
      <w:shd w:val="clear" w:color="auto" w:fill="F2F0E5" w:themeFill="accent5" w:themeFillTint="3F"/>
    </w:tcPr>
    <w:tblStylePr w:type="firstRow">
      <w:rPr>
        <w:b/>
        <w:bCs/>
        <w:i w:val="0"/>
        <w:iCs w:val="0"/>
        <w:color w:val="FFFFFF" w:themeColor="background1"/>
        <w14:textFill>
          <w14:solidFill>
            <w14:schemeClr w14:val="bg1"/>
          </w14:solidFill>
        </w14:textFill>
      </w:rPr>
      <w:tblPr>
        <w:tblLayout w:type="fixed"/>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EC597" w:themeFill="accent5"/>
      </w:tcPr>
    </w:tblStylePr>
    <w:tblStylePr w:type="lastRow">
      <w:rPr>
        <w:b/>
        <w:bCs/>
        <w:i w:val="0"/>
        <w:iCs w:val="0"/>
        <w:color w:val="FFFFFF" w:themeColor="background1"/>
        <w14:textFill>
          <w14:solidFill>
            <w14:schemeClr w14:val="bg1"/>
          </w14:solidFill>
        </w14:textFill>
      </w:rPr>
      <w:tblPr>
        <w:tblLayout w:type="fixed"/>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EC597" w:themeFill="accent5"/>
      </w:tcPr>
    </w:tblStylePr>
    <w:tblStylePr w:type="firstCol">
      <w:rPr>
        <w:b/>
        <w:bCs/>
        <w:i w:val="0"/>
        <w:iCs w:val="0"/>
        <w:color w:val="FFFFFF" w:themeColor="background1"/>
        <w14:textFill>
          <w14:solidFill>
            <w14:schemeClr w14:val="bg1"/>
          </w14:solidFill>
        </w14:textFill>
      </w:rPr>
      <w:tblPr>
        <w:tblLayout w:type="fixed"/>
      </w:tblPr>
      <w:tcPr>
        <w:tcBorders>
          <w:left w:val="single" w:color="FFFFFF" w:themeColor="background1" w:sz="8" w:space="0"/>
          <w:right w:val="single" w:color="FFFFFF" w:themeColor="background1" w:sz="24" w:space="0"/>
          <w:insideH w:val="nil"/>
          <w:insideV w:val="nil"/>
        </w:tcBorders>
        <w:shd w:val="clear" w:color="auto" w:fill="CEC597" w:themeFill="accent5"/>
      </w:tcPr>
    </w:tblStylePr>
    <w:tblStylePr w:type="lastCol">
      <w:rPr>
        <w:b/>
        <w:bCs/>
        <w:i w:val="0"/>
        <w:iCs w:val="0"/>
        <w:color w:val="FFFFFF" w:themeColor="background1"/>
        <w14:textFill>
          <w14:solidFill>
            <w14:schemeClr w14:val="bg1"/>
          </w14:solidFill>
        </w14:textFill>
      </w:rPr>
      <w:tblPr>
        <w:tblLayout w:type="fixed"/>
      </w:tblPr>
      <w:tcPr>
        <w:tcBorders>
          <w:top w:val="nil"/>
          <w:left w:val="single" w:color="FFFFFF" w:themeColor="background1" w:sz="24" w:space="0"/>
          <w:bottom w:val="nil"/>
          <w:right w:val="nil"/>
          <w:insideH w:val="nil"/>
          <w:insideV w:val="nil"/>
        </w:tcBorders>
        <w:shd w:val="clear" w:color="auto" w:fill="CEC597" w:themeFill="accent5"/>
      </w:tcPr>
    </w:tblStylePr>
    <w:tblStylePr w:type="band1Vert">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6E2CB" w:themeFill="accent5" w:themeFillTint="7F"/>
      </w:tcPr>
    </w:tblStylePr>
    <w:tblStylePr w:type="band1Horz">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E6E2CB" w:themeFill="accent5" w:themeFillTint="7F"/>
      </w:tcPr>
    </w:tblStylePr>
  </w:style>
  <w:style w:type="paragraph" w:customStyle="1" w:styleId="51">
    <w:name w:val="列出段落1"/>
    <w:basedOn w:val="1"/>
    <w:link w:val="52"/>
    <w:qFormat/>
    <w:uiPriority w:val="34"/>
    <w:pPr>
      <w:ind w:firstLine="420" w:firstLineChars="200"/>
    </w:pPr>
    <w:rPr>
      <w:rFonts w:ascii="Calibri" w:hAnsi="Calibri"/>
      <w:szCs w:val="24"/>
    </w:rPr>
  </w:style>
  <w:style w:type="character" w:customStyle="1" w:styleId="52">
    <w:name w:val="列出段落 Char"/>
    <w:link w:val="51"/>
    <w:uiPriority w:val="0"/>
    <w:rPr>
      <w:kern w:val="2"/>
      <w:sz w:val="21"/>
      <w:szCs w:val="24"/>
    </w:rPr>
  </w:style>
  <w:style w:type="character" w:customStyle="1" w:styleId="53">
    <w:name w:val="标题 1 Char"/>
    <w:basedOn w:val="24"/>
    <w:link w:val="2"/>
    <w:uiPriority w:val="9"/>
    <w:rPr>
      <w:rFonts w:asciiTheme="majorHAnsi" w:hAnsiTheme="majorHAnsi"/>
      <w:iCs/>
      <w:color w:val="FFFFFF"/>
      <w:sz w:val="28"/>
      <w:szCs w:val="38"/>
      <w:shd w:val="clear" w:color="auto" w:fill="72A376" w:themeFill="accent1"/>
    </w:rPr>
  </w:style>
  <w:style w:type="character" w:customStyle="1" w:styleId="54">
    <w:name w:val="标题 2 Char"/>
    <w:basedOn w:val="24"/>
    <w:link w:val="3"/>
    <w:uiPriority w:val="9"/>
    <w:rPr>
      <w:rFonts w:asciiTheme="majorHAnsi" w:hAnsiTheme="majorHAnsi" w:eastAsiaTheme="majorEastAsia" w:cstheme="majorBidi"/>
      <w:b/>
      <w:bCs/>
      <w:iCs/>
      <w:outline/>
      <w:color w:val="72A376" w:themeColor="accent1"/>
      <w:sz w:val="34"/>
      <w:szCs w:val="34"/>
      <w14:textOutline w14:w="9525" w14:cap="flat" w14:cmpd="sng" w14:algn="ctr">
        <w14:solidFill>
          <w14:schemeClr w14:val="accent1">
            <w14:lumMod w14:val="75000"/>
          </w14:schemeClr>
        </w14:solidFill>
        <w14:prstDash w14:val="solid"/>
        <w14:round/>
      </w14:textOutline>
      <w14:textFill>
        <w14:solidFill>
          <w14:schemeClr w14:val="accent1"/>
        </w14:solidFill>
      </w14:textFill>
    </w:rPr>
  </w:style>
  <w:style w:type="character" w:customStyle="1" w:styleId="55">
    <w:name w:val="标题 3 Char"/>
    <w:basedOn w:val="24"/>
    <w:link w:val="4"/>
    <w:uiPriority w:val="9"/>
    <w:rPr>
      <w:rFonts w:asciiTheme="majorHAnsi" w:hAnsiTheme="majorHAnsi" w:eastAsiaTheme="majorEastAsia" w:cstheme="majorBidi"/>
      <w:b/>
      <w:bCs/>
      <w:iCs/>
      <w:smallCaps/>
      <w:color w:val="76A776" w:themeColor="accent2" w:themeShade="BF"/>
      <w:spacing w:val="24"/>
      <w:sz w:val="28"/>
    </w:rPr>
  </w:style>
  <w:style w:type="character" w:customStyle="1" w:styleId="56">
    <w:name w:val="标题 4 Char"/>
    <w:basedOn w:val="24"/>
    <w:link w:val="5"/>
    <w:uiPriority w:val="9"/>
    <w:rPr>
      <w:rFonts w:asciiTheme="majorHAnsi" w:hAnsiTheme="majorHAnsi" w:eastAsiaTheme="majorEastAsia" w:cstheme="majorBidi"/>
      <w:b/>
      <w:bCs/>
      <w:iCs/>
      <w:color w:val="527E56" w:themeColor="accent1" w:themeShade="BF"/>
      <w:sz w:val="24"/>
    </w:rPr>
  </w:style>
  <w:style w:type="character" w:customStyle="1" w:styleId="57">
    <w:name w:val="标题 5 Char"/>
    <w:basedOn w:val="24"/>
    <w:link w:val="6"/>
    <w:uiPriority w:val="9"/>
    <w:rPr>
      <w:rFonts w:asciiTheme="majorHAnsi" w:hAnsiTheme="majorHAnsi" w:eastAsiaTheme="majorEastAsia" w:cstheme="majorBidi"/>
      <w:bCs/>
      <w:iCs/>
      <w:caps/>
      <w:color w:val="76A776" w:themeColor="accent2" w:themeShade="BF"/>
    </w:rPr>
  </w:style>
  <w:style w:type="character" w:customStyle="1" w:styleId="58">
    <w:name w:val="标题 6 Char"/>
    <w:basedOn w:val="24"/>
    <w:link w:val="7"/>
    <w:uiPriority w:val="9"/>
    <w:rPr>
      <w:rFonts w:asciiTheme="majorHAnsi" w:hAnsiTheme="majorHAnsi" w:eastAsiaTheme="majorEastAsia" w:cstheme="majorBidi"/>
      <w:iCs/>
      <w:color w:val="527E56" w:themeColor="accent1" w:themeShade="BF"/>
    </w:rPr>
  </w:style>
  <w:style w:type="character" w:customStyle="1" w:styleId="59">
    <w:name w:val="标题 7 Char"/>
    <w:basedOn w:val="24"/>
    <w:link w:val="8"/>
    <w:uiPriority w:val="9"/>
    <w:rPr>
      <w:rFonts w:asciiTheme="majorHAnsi" w:hAnsiTheme="majorHAnsi" w:eastAsiaTheme="majorEastAsia" w:cstheme="majorBidi"/>
      <w:iCs/>
      <w:color w:val="76A776" w:themeColor="accent2" w:themeShade="BF"/>
    </w:rPr>
  </w:style>
  <w:style w:type="character" w:customStyle="1" w:styleId="60">
    <w:name w:val="标题 8 Char"/>
    <w:basedOn w:val="24"/>
    <w:link w:val="9"/>
    <w:uiPriority w:val="9"/>
    <w:rPr>
      <w:rFonts w:asciiTheme="majorHAnsi" w:hAnsiTheme="majorHAnsi" w:eastAsiaTheme="majorEastAsia" w:cstheme="majorBidi"/>
      <w:iCs/>
      <w:color w:val="72A376" w:themeColor="accent1"/>
      <w14:textFill>
        <w14:solidFill>
          <w14:schemeClr w14:val="accent1"/>
        </w14:solidFill>
      </w14:textFill>
    </w:rPr>
  </w:style>
  <w:style w:type="character" w:customStyle="1" w:styleId="61">
    <w:name w:val="标题 9 Char"/>
    <w:basedOn w:val="24"/>
    <w:link w:val="10"/>
    <w:uiPriority w:val="9"/>
    <w:rPr>
      <w:rFonts w:asciiTheme="majorHAnsi" w:hAnsiTheme="majorHAnsi" w:eastAsiaTheme="majorEastAsia" w:cstheme="majorBidi"/>
      <w:iCs/>
      <w:smallCaps/>
      <w:color w:val="B0CCB0" w:themeColor="accent2"/>
      <w:sz w:val="20"/>
      <w:szCs w:val="21"/>
      <w14:textFill>
        <w14:solidFill>
          <w14:schemeClr w14:val="accent2"/>
        </w14:solidFill>
      </w14:textFill>
    </w:rPr>
  </w:style>
  <w:style w:type="character" w:customStyle="1" w:styleId="62">
    <w:name w:val="标题 Char"/>
    <w:basedOn w:val="24"/>
    <w:link w:val="23"/>
    <w:uiPriority w:val="10"/>
    <w:rPr>
      <w:rFonts w:asciiTheme="majorHAnsi" w:hAnsiTheme="majorHAnsi" w:eastAsiaTheme="majorEastAsia"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14:textFill>
        <w14:solidFill>
          <w14:schemeClr w14:val="bg1"/>
        </w14:solidFill>
      </w14:textFill>
    </w:rPr>
  </w:style>
  <w:style w:type="character" w:customStyle="1" w:styleId="63">
    <w:name w:val="副标题 Char"/>
    <w:basedOn w:val="24"/>
    <w:link w:val="19"/>
    <w:uiPriority w:val="11"/>
    <w:rPr>
      <w:rFonts w:asciiTheme="majorHAnsi" w:hAnsiTheme="majorHAnsi" w:eastAsiaTheme="majorEastAsia" w:cstheme="majorBidi"/>
      <w:iCs/>
      <w:color w:val="676A55" w:themeColor="text2"/>
      <w:spacing w:val="20"/>
      <w:sz w:val="24"/>
      <w:szCs w:val="24"/>
      <w14:textFill>
        <w14:solidFill>
          <w14:schemeClr w14:val="tx2"/>
        </w14:solidFill>
      </w14:textFill>
    </w:rPr>
  </w:style>
  <w:style w:type="paragraph" w:styleId="64">
    <w:name w:val="No Spacing"/>
    <w:basedOn w:val="1"/>
    <w:link w:val="65"/>
    <w:qFormat/>
    <w:uiPriority w:val="1"/>
    <w:pPr>
      <w:spacing w:after="0" w:line="240" w:lineRule="auto"/>
    </w:pPr>
  </w:style>
  <w:style w:type="character" w:customStyle="1" w:styleId="65">
    <w:name w:val="无间隔 Char"/>
    <w:basedOn w:val="24"/>
    <w:link w:val="64"/>
    <w:uiPriority w:val="1"/>
    <w:rPr>
      <w:iCs/>
      <w:sz w:val="21"/>
      <w:szCs w:val="21"/>
    </w:rPr>
  </w:style>
  <w:style w:type="paragraph" w:styleId="66">
    <w:name w:val="List Paragraph"/>
    <w:basedOn w:val="1"/>
    <w:qFormat/>
    <w:uiPriority w:val="34"/>
    <w:pPr>
      <w:numPr>
        <w:ilvl w:val="0"/>
        <w:numId w:val="1"/>
      </w:numPr>
      <w:contextualSpacing/>
    </w:pPr>
    <w:rPr>
      <w:sz w:val="22"/>
    </w:rPr>
  </w:style>
  <w:style w:type="paragraph" w:styleId="67">
    <w:name w:val="Quote"/>
    <w:basedOn w:val="1"/>
    <w:next w:val="1"/>
    <w:link w:val="68"/>
    <w:qFormat/>
    <w:uiPriority w:val="29"/>
    <w:rPr>
      <w:b/>
      <w:i/>
      <w:color w:val="B0CCB0" w:themeColor="accent2"/>
      <w:sz w:val="24"/>
      <w14:textFill>
        <w14:solidFill>
          <w14:schemeClr w14:val="accent2"/>
        </w14:solidFill>
      </w14:textFill>
    </w:rPr>
  </w:style>
  <w:style w:type="character" w:customStyle="1" w:styleId="68">
    <w:name w:val="引用 Char"/>
    <w:basedOn w:val="24"/>
    <w:link w:val="67"/>
    <w:uiPriority w:val="29"/>
    <w:rPr>
      <w:b/>
      <w:i/>
      <w:iCs/>
      <w:color w:val="B0CCB0" w:themeColor="accent2"/>
      <w:sz w:val="24"/>
      <w:szCs w:val="21"/>
      <w14:textFill>
        <w14:solidFill>
          <w14:schemeClr w14:val="accent2"/>
        </w14:solidFill>
      </w14:textFill>
    </w:rPr>
  </w:style>
  <w:style w:type="paragraph" w:styleId="69">
    <w:name w:val="Intense Quote"/>
    <w:basedOn w:val="1"/>
    <w:next w:val="1"/>
    <w:link w:val="70"/>
    <w:qFormat/>
    <w:uiPriority w:val="30"/>
    <w:pPr>
      <w:pBdr>
        <w:top w:val="dotted" w:color="B0CCB0" w:themeColor="accent2" w:sz="8" w:space="10"/>
        <w:bottom w:val="dotted" w:color="B0CCB0" w:themeColor="accent2" w:sz="8" w:space="10"/>
      </w:pBdr>
      <w:spacing w:line="300" w:lineRule="auto"/>
      <w:ind w:left="2160" w:right="2160"/>
      <w:jc w:val="center"/>
    </w:pPr>
    <w:rPr>
      <w:rFonts w:asciiTheme="majorHAnsi" w:hAnsiTheme="majorHAnsi" w:eastAsiaTheme="majorEastAsia" w:cstheme="majorBidi"/>
      <w:b/>
      <w:bCs/>
      <w:i/>
      <w:color w:val="B0CCB0" w:themeColor="accent2"/>
      <w:sz w:val="20"/>
      <w:szCs w:val="20"/>
      <w14:textFill>
        <w14:solidFill>
          <w14:schemeClr w14:val="accent2"/>
        </w14:solidFill>
      </w14:textFill>
    </w:rPr>
  </w:style>
  <w:style w:type="character" w:customStyle="1" w:styleId="70">
    <w:name w:val="明显引用 Char"/>
    <w:basedOn w:val="24"/>
    <w:link w:val="69"/>
    <w:uiPriority w:val="30"/>
    <w:rPr>
      <w:rFonts w:asciiTheme="majorHAnsi" w:hAnsiTheme="majorHAnsi" w:eastAsiaTheme="majorEastAsia" w:cstheme="majorBidi"/>
      <w:b/>
      <w:bCs/>
      <w:i/>
      <w:iCs/>
      <w:color w:val="B0CCB0" w:themeColor="accent2"/>
      <w:sz w:val="20"/>
      <w:szCs w:val="20"/>
      <w14:textFill>
        <w14:solidFill>
          <w14:schemeClr w14:val="accent2"/>
        </w14:solidFill>
      </w14:textFill>
    </w:rPr>
  </w:style>
  <w:style w:type="character" w:customStyle="1" w:styleId="71">
    <w:name w:val="Subtle Emphasis"/>
    <w:qFormat/>
    <w:uiPriority w:val="19"/>
    <w:rPr>
      <w:rFonts w:asciiTheme="majorHAnsi" w:hAnsiTheme="majorHAnsi" w:eastAsiaTheme="majorEastAsia" w:cstheme="majorBidi"/>
      <w:b/>
      <w:i/>
      <w:color w:val="72A376" w:themeColor="accent1"/>
      <w14:textFill>
        <w14:solidFill>
          <w14:schemeClr w14:val="accent1"/>
        </w14:solidFill>
      </w14:textFill>
    </w:rPr>
  </w:style>
  <w:style w:type="character" w:customStyle="1" w:styleId="72">
    <w:name w:val="Intense Emphasis"/>
    <w:qFormat/>
    <w:uiPriority w:val="21"/>
    <w:rPr>
      <w:rFonts w:asciiTheme="majorHAnsi" w:hAnsiTheme="majorHAnsi" w:eastAsiaTheme="majorEastAsia" w:cstheme="majorBidi"/>
      <w:b/>
      <w:bCs/>
      <w:i/>
      <w:iCs/>
      <w:color w:val="FFFFFF" w:themeColor="background1"/>
      <w:bdr w:val="single" w:color="B0CCB0" w:themeColor="accent2" w:sz="18" w:space="0"/>
      <w:shd w:val="clear" w:color="auto" w:fill="B0CCB0" w:themeFill="accent2"/>
      <w:vertAlign w:val="baseline"/>
      <w14:textFill>
        <w14:solidFill>
          <w14:schemeClr w14:val="bg1"/>
        </w14:solidFill>
      </w14:textFill>
    </w:rPr>
  </w:style>
  <w:style w:type="character" w:customStyle="1" w:styleId="73">
    <w:name w:val="Subtle Reference"/>
    <w:qFormat/>
    <w:uiPriority w:val="31"/>
    <w:rPr>
      <w:i/>
      <w:iCs/>
      <w:smallCaps/>
      <w:color w:val="B0CCB0" w:themeColor="accent2"/>
      <w:u w:color="B0CCB0" w:themeColor="accent2"/>
      <w14:textFill>
        <w14:solidFill>
          <w14:schemeClr w14:val="accent2"/>
        </w14:solidFill>
      </w14:textFill>
    </w:rPr>
  </w:style>
  <w:style w:type="character" w:customStyle="1" w:styleId="74">
    <w:name w:val="Intense Reference"/>
    <w:qFormat/>
    <w:uiPriority w:val="32"/>
    <w:rPr>
      <w:b/>
      <w:bCs/>
      <w:i/>
      <w:iCs/>
      <w:smallCaps/>
      <w:color w:val="B0CCB0" w:themeColor="accent2"/>
      <w:u w:color="B0CCB0" w:themeColor="accent2"/>
      <w14:textFill>
        <w14:solidFill>
          <w14:schemeClr w14:val="accent2"/>
        </w14:solidFill>
      </w14:textFill>
    </w:rPr>
  </w:style>
  <w:style w:type="character" w:customStyle="1" w:styleId="75">
    <w:name w:val="Book Title"/>
    <w:qFormat/>
    <w:uiPriority w:val="33"/>
    <w:rPr>
      <w:rFonts w:asciiTheme="majorHAnsi" w:hAnsiTheme="majorHAnsi" w:eastAsiaTheme="majorEastAsia" w:cstheme="majorBidi"/>
      <w:b/>
      <w:bCs/>
      <w:smallCaps/>
      <w:color w:val="B0CCB0" w:themeColor="accent2"/>
      <w:u w:val="single"/>
      <w14:textFill>
        <w14:solidFill>
          <w14:schemeClr w14:val="accent2"/>
        </w14:solidFill>
      </w14:textFill>
    </w:rPr>
  </w:style>
  <w:style w:type="paragraph" w:customStyle="1" w:styleId="76">
    <w:name w:val="TOC Heading"/>
    <w:basedOn w:val="2"/>
    <w:next w:val="1"/>
    <w:semiHidden/>
    <w:unhideWhenUsed/>
    <w:qFormat/>
    <w:uiPriority w:val="39"/>
    <w:pPr>
      <w:outlineLvl w:val="9"/>
    </w:pPr>
  </w:style>
  <w:style w:type="character" w:customStyle="1" w:styleId="77">
    <w:name w:val="批注框文本 Char"/>
    <w:basedOn w:val="24"/>
    <w:link w:val="15"/>
    <w:semiHidden/>
    <w:uiPriority w:val="99"/>
    <w:rPr>
      <w:sz w:val="18"/>
      <w:szCs w:val="18"/>
    </w:rPr>
  </w:style>
  <w:style w:type="character" w:customStyle="1" w:styleId="78">
    <w:name w:val="页眉 Char"/>
    <w:basedOn w:val="24"/>
    <w:link w:val="17"/>
    <w:uiPriority w:val="99"/>
    <w:rPr>
      <w:sz w:val="18"/>
      <w:szCs w:val="18"/>
    </w:rPr>
  </w:style>
  <w:style w:type="character" w:customStyle="1" w:styleId="79">
    <w:name w:val="页脚 Char"/>
    <w:basedOn w:val="24"/>
    <w:link w:val="16"/>
    <w:uiPriority w:val="99"/>
    <w:rPr>
      <w:sz w:val="18"/>
      <w:szCs w:val="18"/>
    </w:rPr>
  </w:style>
  <w:style w:type="paragraph" w:customStyle="1" w:styleId="80">
    <w:name w:val="Default"/>
    <w:uiPriority w:val="0"/>
    <w:pPr>
      <w:widowControl w:val="0"/>
      <w:autoSpaceDE w:val="0"/>
      <w:autoSpaceDN w:val="0"/>
      <w:adjustRightInd w:val="0"/>
      <w:spacing w:after="200" w:line="288" w:lineRule="auto"/>
    </w:pPr>
    <w:rPr>
      <w:rFonts w:ascii="宋体" w:eastAsia="宋体" w:cs="宋体" w:hAnsiTheme="minorHAnsi"/>
      <w:color w:val="000000"/>
      <w:sz w:val="24"/>
      <w:szCs w:val="24"/>
      <w:lang w:val="en-US" w:eastAsia="zh-CN" w:bidi="ar-SA"/>
    </w:rPr>
  </w:style>
  <w:style w:type="character" w:customStyle="1" w:styleId="81">
    <w:name w:val="脚注文本 Char"/>
    <w:basedOn w:val="24"/>
    <w:link w:val="20"/>
    <w:uiPriority w:val="99"/>
    <w:rPr>
      <w:rFonts w:ascii="Times New Roman" w:hAnsi="Times New Roman" w:eastAsia="宋体" w:cs="Times New Roman"/>
      <w:sz w:val="18"/>
      <w:szCs w:val="18"/>
    </w:rPr>
  </w:style>
  <w:style w:type="character" w:customStyle="1" w:styleId="82">
    <w:name w:val="正文文本 Char"/>
    <w:basedOn w:val="24"/>
    <w:semiHidden/>
    <w:uiPriority w:val="99"/>
    <w:rPr>
      <w:iCs/>
      <w:sz w:val="21"/>
      <w:szCs w:val="21"/>
    </w:rPr>
  </w:style>
  <w:style w:type="character" w:customStyle="1" w:styleId="83">
    <w:name w:val="正文文本 Char1"/>
    <w:basedOn w:val="24"/>
    <w:link w:val="13"/>
    <w:qFormat/>
    <w:uiPriority w:val="0"/>
    <w:rPr>
      <w:rFonts w:ascii="Calibri" w:hAnsi="Calibri"/>
      <w:kern w:val="2"/>
      <w:sz w:val="21"/>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chart" Target="charts/chart33.xml"/><Relationship Id="rId4" Type="http://schemas.openxmlformats.org/officeDocument/2006/relationships/footer" Target="footer1.xml"/><Relationship Id="rId39" Type="http://schemas.openxmlformats.org/officeDocument/2006/relationships/chart" Target="charts/chart32.xml"/><Relationship Id="rId38" Type="http://schemas.openxmlformats.org/officeDocument/2006/relationships/chart" Target="charts/chart31.xml"/><Relationship Id="rId37" Type="http://schemas.openxmlformats.org/officeDocument/2006/relationships/chart" Target="charts/chart30.xml"/><Relationship Id="rId36" Type="http://schemas.openxmlformats.org/officeDocument/2006/relationships/chart" Target="charts/chart29.xml"/><Relationship Id="rId35" Type="http://schemas.openxmlformats.org/officeDocument/2006/relationships/chart" Target="charts/chart28.xml"/><Relationship Id="rId34" Type="http://schemas.openxmlformats.org/officeDocument/2006/relationships/chart" Target="charts/chart27.xml"/><Relationship Id="rId33" Type="http://schemas.openxmlformats.org/officeDocument/2006/relationships/chart" Target="charts/chart26.xml"/><Relationship Id="rId32" Type="http://schemas.openxmlformats.org/officeDocument/2006/relationships/chart" Target="charts/chart25.xml"/><Relationship Id="rId31" Type="http://schemas.openxmlformats.org/officeDocument/2006/relationships/chart" Target="charts/chart24.xml"/><Relationship Id="rId30" Type="http://schemas.openxmlformats.org/officeDocument/2006/relationships/chart" Target="charts/chart23.xml"/><Relationship Id="rId3" Type="http://schemas.openxmlformats.org/officeDocument/2006/relationships/header" Target="header1.xml"/><Relationship Id="rId29" Type="http://schemas.openxmlformats.org/officeDocument/2006/relationships/chart" Target="charts/chart22.xml"/><Relationship Id="rId28" Type="http://schemas.openxmlformats.org/officeDocument/2006/relationships/chart" Target="charts/chart21.xml"/><Relationship Id="rId27" Type="http://schemas.openxmlformats.org/officeDocument/2006/relationships/chart" Target="charts/chart20.xml"/><Relationship Id="rId26" Type="http://schemas.openxmlformats.org/officeDocument/2006/relationships/chart" Target="charts/chart19.xml"/><Relationship Id="rId25" Type="http://schemas.openxmlformats.org/officeDocument/2006/relationships/chart" Target="charts/chart18.xml"/><Relationship Id="rId24" Type="http://schemas.openxmlformats.org/officeDocument/2006/relationships/chart" Target="charts/chart17.xml"/><Relationship Id="rId23" Type="http://schemas.openxmlformats.org/officeDocument/2006/relationships/chart" Target="charts/chart16.xml"/><Relationship Id="rId22" Type="http://schemas.openxmlformats.org/officeDocument/2006/relationships/chart" Target="charts/chart15.xml"/><Relationship Id="rId21" Type="http://schemas.openxmlformats.org/officeDocument/2006/relationships/chart" Target="charts/chart14.xml"/><Relationship Id="rId20" Type="http://schemas.openxmlformats.org/officeDocument/2006/relationships/chart" Target="charts/chart13.xml"/><Relationship Id="rId2" Type="http://schemas.openxmlformats.org/officeDocument/2006/relationships/settings" Target="settings.xml"/><Relationship Id="rId19" Type="http://schemas.openxmlformats.org/officeDocument/2006/relationships/chart" Target="charts/chart12.xml"/><Relationship Id="rId18" Type="http://schemas.openxmlformats.org/officeDocument/2006/relationships/chart" Target="charts/chart11.xml"/><Relationship Id="rId17" Type="http://schemas.openxmlformats.org/officeDocument/2006/relationships/chart" Target="charts/chart10.xml"/><Relationship Id="rId16" Type="http://schemas.openxmlformats.org/officeDocument/2006/relationships/chart" Target="charts/chart9.xml"/><Relationship Id="rId15" Type="http://schemas.openxmlformats.org/officeDocument/2006/relationships/chart" Target="charts/chart8.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Workbook1.xlsx"/></Relationships>
</file>

<file path=word/charts/_rels/chart10.xml.rels><?xml version="1.0" encoding="UTF-8" standalone="yes"?>
<Relationships xmlns="http://schemas.openxmlformats.org/package/2006/relationships"><Relationship Id="rId1" Type="http://schemas.openxmlformats.org/officeDocument/2006/relationships/oleObject" Target="file:///D:\&#37325;&#24198;&#21307;&#33647;\30471713_2_&#37325;&#24198;&#21307;&#33647;&#39640;&#31561;&#19987;&#31185;&#23398;&#26657;&#23601;&#19994;&#36136;&#37327;&#35843;&#30740;_2389_2389.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37325;&#24198;&#21307;&#33647;\30471713_2_&#37325;&#24198;&#21307;&#33647;&#39640;&#31561;&#19987;&#31185;&#23398;&#26657;&#23601;&#19994;&#36136;&#37327;&#35843;&#30740;_2389_2389.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37325;&#24198;&#21307;&#33647;\30471713_2_&#37325;&#24198;&#21307;&#33647;&#39640;&#31561;&#19987;&#31185;&#23398;&#26657;&#23601;&#19994;&#36136;&#37327;&#35843;&#30740;_2389_2389%20(&#33258;&#21160;&#20445;&#23384;&#30340;).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37325;&#24198;&#21307;&#33647;\30471713_2_&#37325;&#24198;&#21307;&#33647;&#39640;&#31561;&#19987;&#31185;&#23398;&#26657;&#23601;&#19994;&#36136;&#37327;&#35843;&#30740;_2389_2389.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ingu\AppData\Roaming\Microsoft\Excel\30471713_2_&#37325;&#24198;&#21307;&#33647;&#39640;&#31561;&#19987;&#31185;&#23398;&#26657;&#23601;&#19994;&#36136;&#37327;&#35843;&#30740;_2389_2389%20(version%20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ingu\AppData\Roaming\Microsoft\Excel\30471713_2_&#37325;&#24198;&#21307;&#33647;&#39640;&#31561;&#19987;&#31185;&#23398;&#26657;&#23601;&#19994;&#36136;&#37327;&#35843;&#30740;_2389_2389%20(version%201).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37325;&#24198;&#21307;&#33647;\30471713_2_&#37325;&#24198;&#21307;&#33647;&#39640;&#31561;&#19987;&#31185;&#23398;&#26657;&#23601;&#19994;&#36136;&#37327;&#35843;&#30740;_2389_2389%20(&#33258;&#21160;&#20445;&#23384;&#30340;).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37325;&#24198;&#21307;&#33647;\30471713_2_&#37325;&#24198;&#21307;&#33647;&#39640;&#31561;&#19987;&#31185;&#23398;&#26657;&#23601;&#19994;&#36136;&#37327;&#35843;&#30740;_2389_2389%20(&#33258;&#21160;&#20445;&#23384;&#30340;).xls"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37325;&#24198;&#21307;&#33647;\30471713_2_&#37325;&#24198;&#21307;&#33647;&#39640;&#31561;&#19987;&#31185;&#23398;&#26657;&#23601;&#19994;&#36136;&#37327;&#35843;&#30740;_2389_2389%20(&#33258;&#21160;&#20445;&#23384;&#30340;).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37325;&#24198;&#21307;&#33647;\30471713_2_&#37325;&#24198;&#21307;&#33647;&#39640;&#31561;&#19987;&#31185;&#23398;&#26657;&#23601;&#19994;&#36136;&#37327;&#35843;&#30740;_2389_2389%20(&#33258;&#21160;&#20445;&#23384;&#3034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2"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37325;&#24198;&#21307;&#33647;\30471713_2_&#37325;&#24198;&#21307;&#33647;&#39640;&#31561;&#19987;&#31185;&#23398;&#26657;&#23601;&#19994;&#36136;&#37327;&#35843;&#30740;_2389_2389%20(&#33258;&#21160;&#20445;&#23384;&#30340;).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37325;&#24198;&#21307;&#33647;\30471713_2_&#37325;&#24198;&#21307;&#33647;&#39640;&#31561;&#19987;&#31185;&#23398;&#26657;&#23601;&#19994;&#36136;&#37327;&#35843;&#30740;_2389_2389%20(&#33258;&#21160;&#20445;&#23384;&#30340;).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37325;&#24198;&#21307;&#33647;\30471713_2_&#37325;&#24198;&#21307;&#33647;&#39640;&#31561;&#19987;&#31185;&#23398;&#26657;&#23601;&#19994;&#36136;&#37327;&#35843;&#30740;_2389_2389%20(&#33258;&#21160;&#20445;&#23384;&#30340;).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My%20Documents\WeChat%20Files\sys0688\Files\&#31532;&#20108;&#37096;&#20998;.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37325;&#24198;&#21307;&#33647;\30471713_2_&#37325;&#24198;&#21307;&#33647;&#39640;&#31561;&#19987;&#31185;&#23398;&#26657;&#23601;&#19994;&#36136;&#37327;&#35843;&#30740;_2389_2389%20(&#33258;&#21160;&#20445;&#23384;&#30340;).xls" TargetMode="External"/></Relationships>
</file>

<file path=word/charts/_rels/chart25.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6.xml.rels><?xml version="1.0" encoding="UTF-8" standalone="yes"?>
<Relationships xmlns="http://schemas.openxmlformats.org/package/2006/relationships"><Relationship Id="rId1" Type="http://schemas.openxmlformats.org/officeDocument/2006/relationships/oleObject" Target="file:///D:\My%20Documents\WeChat%20Files\sys0688\Files\&#31532;&#20108;&#37096;&#20998;.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29.xml.rels><?xml version="1.0" encoding="UTF-8" standalone="yes"?>
<Relationships xmlns="http://schemas.openxmlformats.org/package/2006/relationships"><Relationship Id="rId1" Type="http://schemas.openxmlformats.org/officeDocument/2006/relationships/oleObject" Target="file:///D:\&#37325;&#24198;&#21307;&#33647;\30471713_2_&#37325;&#24198;&#21307;&#33647;&#39640;&#31561;&#19987;&#31185;&#23398;&#26657;&#23601;&#19994;&#36136;&#37327;&#35843;&#30740;_2389_2389%20(&#33258;&#21160;&#20445;&#23384;&#3034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37325;&#24198;&#21307;&#33647;\30471713_2_&#37325;&#24198;&#21307;&#33647;&#39640;&#31561;&#19987;&#31185;&#23398;&#26657;&#23601;&#19994;&#36136;&#37327;&#35843;&#30740;_2389_2389%20(&#33258;&#21160;&#20445;&#23384;&#30340;).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37325;&#24198;&#21307;&#33647;\30471713_2_&#37325;&#24198;&#21307;&#33647;&#39640;&#31561;&#19987;&#31185;&#23398;&#26657;&#23601;&#19994;&#36136;&#37327;&#35843;&#30740;_2389_2389%20(&#33258;&#21160;&#20445;&#23384;&#30340;).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37325;&#24198;&#21307;&#33647;\30471713_2_&#37325;&#24198;&#21307;&#33647;&#39640;&#31561;&#19987;&#31185;&#23398;&#26657;&#23601;&#19994;&#36136;&#37327;&#35843;&#30740;_2389_2389%20(&#33258;&#21160;&#20445;&#23384;&#30340;).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37325;&#24198;&#21307;&#33647;\30471713_2_&#37325;&#24198;&#21307;&#33647;&#39640;&#31561;&#19987;&#31185;&#23398;&#26657;&#23601;&#19994;&#36136;&#37327;&#35843;&#30740;_2389_2389%20(&#33258;&#21160;&#20445;&#23384;&#30340;).xls" TargetMode="External"/></Relationships>
</file>

<file path=word/charts/_rels/chart33.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1" Type="http://schemas.openxmlformats.org/officeDocument/2006/relationships/oleObject" Target="file:///D:\&#37325;&#24198;&#21307;&#33647;\30471713_2_&#37325;&#24198;&#21307;&#33647;&#39640;&#31561;&#19987;&#31185;&#23398;&#26657;&#23601;&#19994;&#36136;&#37327;&#35843;&#30740;_2389_2389%20(&#33258;&#21160;&#20445;&#23384;&#30340;).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My%20Documents\WeChat%20Files\sys0688\Files\&#21103;&#26412;&#21103;&#26412;2018&#23626;&#27605;&#19994;&#29983;&#21021;&#27425;&#23601;&#19994;&#29575;&#65288;&#21457;&#25104;&#37117;&#27901;&#22885;&#65289;.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Documents\WeChat%20Files\sys0688\Files\&#21103;&#26412;&#21103;&#26412;2018&#23626;&#27605;&#19994;&#29983;&#21021;&#27425;&#23601;&#19994;&#29575;&#65288;&#21457;&#25104;&#37117;&#27901;&#22885;&#65289;.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Users\Administrator\Desktop\&#21103;&#26412;&#21103;&#26412;2018&#23626;&#27605;&#19994;&#29983;&#21021;&#27425;&#23601;&#19994;&#29575;&#65288;&#21457;&#25104;&#37117;&#27901;&#22885;&#65289;.xls"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37325;&#24198;&#21307;&#33647;\30471713_2_&#37325;&#24198;&#21307;&#33647;&#39640;&#31561;&#19987;&#31185;&#23398;&#26657;&#23601;&#19994;&#36136;&#37327;&#35843;&#30740;_2389_2389.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37325;&#24198;&#21307;&#33647;\30471713_2_&#37325;&#24198;&#21307;&#33647;&#39640;&#31561;&#19987;&#31185;&#23398;&#26657;&#23601;&#19994;&#36136;&#37327;&#35843;&#30740;_2389_238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0717242300197372"/>
          <c:y val="0.0667193368505704"/>
          <c:w val="0.865948196337737"/>
          <c:h val="0.727293741398825"/>
        </c:manualLayout>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Sheet3!$B$3:$B$8</c:f>
              <c:strCache>
                <c:ptCount val="6"/>
                <c:pt idx="0">
                  <c:v>护理
学院</c:v>
                </c:pt>
                <c:pt idx="1">
                  <c:v>药学院</c:v>
                </c:pt>
                <c:pt idx="2">
                  <c:v>临床
医学院</c:v>
                </c:pt>
                <c:pt idx="3">
                  <c:v>医学
技术学院</c:v>
                </c:pt>
                <c:pt idx="4">
                  <c:v>中医
学院</c:v>
                </c:pt>
                <c:pt idx="5">
                  <c:v>基础部</c:v>
                </c:pt>
              </c:strCache>
            </c:strRef>
          </c:cat>
          <c:val>
            <c:numRef>
              <c:f>Sheet3!$C$3:$C$8</c:f>
              <c:numCache>
                <c:formatCode>General</c:formatCode>
                <c:ptCount val="6"/>
                <c:pt idx="0">
                  <c:v>1451</c:v>
                </c:pt>
                <c:pt idx="1">
                  <c:v>1079</c:v>
                </c:pt>
                <c:pt idx="2">
                  <c:v>1030</c:v>
                </c:pt>
                <c:pt idx="3">
                  <c:v>528</c:v>
                </c:pt>
                <c:pt idx="4">
                  <c:v>190</c:v>
                </c:pt>
                <c:pt idx="5">
                  <c:v>79</c:v>
                </c:pt>
              </c:numCache>
            </c:numRef>
          </c:val>
        </c:ser>
        <c:dLbls>
          <c:showLegendKey val="0"/>
          <c:showVal val="0"/>
          <c:showCatName val="0"/>
          <c:showSerName val="0"/>
          <c:showPercent val="0"/>
          <c:showBubbleSize val="0"/>
        </c:dLbls>
        <c:gapWidth val="150"/>
        <c:axId val="36125696"/>
        <c:axId val="36172544"/>
      </c:barChart>
      <c:catAx>
        <c:axId val="3612569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6172544"/>
        <c:crosses val="autoZero"/>
        <c:auto val="1"/>
        <c:lblAlgn val="ctr"/>
        <c:lblOffset val="100"/>
        <c:noMultiLvlLbl val="0"/>
      </c:catAx>
      <c:valAx>
        <c:axId val="36172544"/>
        <c:scaling>
          <c:orientation val="minMax"/>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6125696"/>
        <c:crosses val="autoZero"/>
        <c:crossBetween val="between"/>
      </c:valAx>
    </c:plotArea>
    <c:plotVisOnly val="1"/>
    <c:dispBlanksAs val="gap"/>
    <c:showDLblsOverMax val="0"/>
  </c:chart>
  <c:txPr>
    <a:bodyPr/>
    <a:lstStyle/>
    <a:p>
      <a:pPr>
        <a:defRPr lang="zh-CN"/>
      </a:pPr>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354988346456693"/>
          <c:y val="0.0787037037037037"/>
          <c:w val="0.622789291338583"/>
          <c:h val="0.898148148148148"/>
        </c:manualLayout>
      </c:layout>
      <c:barChart>
        <c:barDir val="bar"/>
        <c:grouping val="clustered"/>
        <c:varyColors val="0"/>
        <c:ser>
          <c:idx val="0"/>
          <c:order val="0"/>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Sheet2!$K$75:$K$79</c:f>
              <c:strCache>
                <c:ptCount val="5"/>
                <c:pt idx="0">
                  <c:v>重庆市下属区(非主城)</c:v>
                </c:pt>
                <c:pt idx="1">
                  <c:v>重庆市下属县</c:v>
                </c:pt>
                <c:pt idx="2">
                  <c:v>平均薪酬</c:v>
                </c:pt>
                <c:pt idx="3">
                  <c:v>四川省</c:v>
                </c:pt>
                <c:pt idx="4">
                  <c:v>重庆市(主城区)</c:v>
                </c:pt>
              </c:strCache>
            </c:strRef>
          </c:cat>
          <c:val>
            <c:numRef>
              <c:f>Sheet2!$L$75:$L$79</c:f>
              <c:numCache>
                <c:formatCode>###0.00</c:formatCode>
                <c:ptCount val="5"/>
                <c:pt idx="0">
                  <c:v>2537.11695906433</c:v>
                </c:pt>
                <c:pt idx="1">
                  <c:v>2835.67073170732</c:v>
                </c:pt>
                <c:pt idx="2">
                  <c:v>2894.55</c:v>
                </c:pt>
                <c:pt idx="3">
                  <c:v>2996.2962962963</c:v>
                </c:pt>
                <c:pt idx="4">
                  <c:v>3884</c:v>
                </c:pt>
              </c:numCache>
            </c:numRef>
          </c:val>
        </c:ser>
        <c:dLbls>
          <c:showLegendKey val="0"/>
          <c:showVal val="0"/>
          <c:showCatName val="0"/>
          <c:showSerName val="0"/>
          <c:showPercent val="0"/>
          <c:showBubbleSize val="0"/>
        </c:dLbls>
        <c:gapWidth val="150"/>
        <c:axId val="180404992"/>
        <c:axId val="180406528"/>
      </c:barChart>
      <c:catAx>
        <c:axId val="180404992"/>
        <c:scaling>
          <c:orientation val="minMax"/>
        </c:scaling>
        <c:delete val="0"/>
        <c:axPos val="l"/>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0406528"/>
        <c:crosses val="autoZero"/>
        <c:auto val="1"/>
        <c:lblAlgn val="ctr"/>
        <c:lblOffset val="100"/>
        <c:noMultiLvlLbl val="0"/>
      </c:catAx>
      <c:valAx>
        <c:axId val="180406528"/>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0404992"/>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clustered"/>
        <c:varyColors val="0"/>
        <c:ser>
          <c:idx val="0"/>
          <c:order val="0"/>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Sheet2!$K$136:$K$139</c:f>
              <c:strCache>
                <c:ptCount val="4"/>
                <c:pt idx="0">
                  <c:v>医疗卫生单位</c:v>
                </c:pt>
                <c:pt idx="1">
                  <c:v>机关</c:v>
                </c:pt>
                <c:pt idx="2">
                  <c:v>平均薪水</c:v>
                </c:pt>
                <c:pt idx="3">
                  <c:v>其他企业</c:v>
                </c:pt>
              </c:strCache>
            </c:strRef>
          </c:cat>
          <c:val>
            <c:numRef>
              <c:f>Sheet2!$L$136:$L$139</c:f>
              <c:numCache>
                <c:formatCode>###0.00</c:formatCode>
                <c:ptCount val="4"/>
                <c:pt idx="0">
                  <c:v>2496.51851851852</c:v>
                </c:pt>
                <c:pt idx="1">
                  <c:v>2788.23529411765</c:v>
                </c:pt>
                <c:pt idx="2">
                  <c:v>2894.55</c:v>
                </c:pt>
                <c:pt idx="3">
                  <c:v>3026.71698113208</c:v>
                </c:pt>
              </c:numCache>
            </c:numRef>
          </c:val>
        </c:ser>
        <c:dLbls>
          <c:showLegendKey val="0"/>
          <c:showVal val="0"/>
          <c:showCatName val="0"/>
          <c:showSerName val="0"/>
          <c:showPercent val="0"/>
          <c:showBubbleSize val="0"/>
        </c:dLbls>
        <c:gapWidth val="150"/>
        <c:axId val="188606336"/>
        <c:axId val="188607872"/>
      </c:barChart>
      <c:catAx>
        <c:axId val="188606336"/>
        <c:scaling>
          <c:orientation val="minMax"/>
        </c:scaling>
        <c:delete val="0"/>
        <c:axPos val="l"/>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8607872"/>
        <c:crosses val="autoZero"/>
        <c:auto val="1"/>
        <c:lblAlgn val="ctr"/>
        <c:lblOffset val="100"/>
        <c:noMultiLvlLbl val="0"/>
      </c:catAx>
      <c:valAx>
        <c:axId val="188607872"/>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8606336"/>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dPt>
          <c:dPt>
            <c:idx val="1"/>
            <c:bubble3D val="0"/>
          </c:dPt>
          <c:dPt>
            <c:idx val="2"/>
            <c:bubble3D val="0"/>
          </c:dPt>
          <c:dPt>
            <c:idx val="3"/>
            <c:bubble3D val="0"/>
          </c:dPt>
          <c:dPt>
            <c:idx val="4"/>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Sheet2!$K$157:$K$161</c:f>
              <c:strCache>
                <c:ptCount val="5"/>
                <c:pt idx="0">
                  <c:v>非常相关</c:v>
                </c:pt>
                <c:pt idx="1">
                  <c:v>比较相关</c:v>
                </c:pt>
                <c:pt idx="2">
                  <c:v>一般相关</c:v>
                </c:pt>
                <c:pt idx="3">
                  <c:v>相关度较小</c:v>
                </c:pt>
                <c:pt idx="4">
                  <c:v>很不相关</c:v>
                </c:pt>
              </c:strCache>
            </c:strRef>
          </c:cat>
          <c:val>
            <c:numRef>
              <c:f>Sheet2!$L$157:$L$161</c:f>
              <c:numCache>
                <c:formatCode>###0.00%</c:formatCode>
                <c:ptCount val="5"/>
                <c:pt idx="0">
                  <c:v>0.501825769431403</c:v>
                </c:pt>
                <c:pt idx="1">
                  <c:v>0.276473656755347</c:v>
                </c:pt>
                <c:pt idx="2">
                  <c:v>0.13302034428795</c:v>
                </c:pt>
                <c:pt idx="3">
                  <c:v>0.0485133020344288</c:v>
                </c:pt>
                <c:pt idx="4">
                  <c:v>0.0401669274908711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45771062992126"/>
          <c:y val="0.0462962962962963"/>
          <c:w val="0.508956036745407"/>
          <c:h val="0.898148148148148"/>
        </c:manualLayout>
      </c:layout>
      <c:barChart>
        <c:barDir val="bar"/>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Sheet2!$L$203:$L$207</c:f>
              <c:strCache>
                <c:ptCount val="5"/>
                <c:pt idx="0">
                  <c:v>本专业相关工作环境不好</c:v>
                </c:pt>
                <c:pt idx="1">
                  <c:v>本专业相关工作待遇低</c:v>
                </c:pt>
                <c:pt idx="2">
                  <c:v>本专业相关工作要求过高</c:v>
                </c:pt>
                <c:pt idx="3">
                  <c:v>本专业相关工作机会少</c:v>
                </c:pt>
                <c:pt idx="4">
                  <c:v>本专业相关工作与自己的兴趣不符</c:v>
                </c:pt>
              </c:strCache>
            </c:strRef>
          </c:cat>
          <c:val>
            <c:numRef>
              <c:f>Sheet2!$M$203:$M$207</c:f>
              <c:numCache>
                <c:formatCode>0.0%</c:formatCode>
                <c:ptCount val="5"/>
                <c:pt idx="0">
                  <c:v>0.0566037735849057</c:v>
                </c:pt>
                <c:pt idx="1">
                  <c:v>0.150943396226415</c:v>
                </c:pt>
                <c:pt idx="2">
                  <c:v>0.169811320754717</c:v>
                </c:pt>
                <c:pt idx="3">
                  <c:v>0.264150943396226</c:v>
                </c:pt>
                <c:pt idx="4">
                  <c:v>0.358490566037736</c:v>
                </c:pt>
              </c:numCache>
            </c:numRef>
          </c:val>
        </c:ser>
        <c:dLbls>
          <c:showLegendKey val="0"/>
          <c:showVal val="0"/>
          <c:showCatName val="0"/>
          <c:showSerName val="0"/>
          <c:showPercent val="0"/>
          <c:showBubbleSize val="0"/>
        </c:dLbls>
        <c:gapWidth val="150"/>
        <c:axId val="190134144"/>
        <c:axId val="190135680"/>
      </c:barChart>
      <c:catAx>
        <c:axId val="190134144"/>
        <c:scaling>
          <c:orientation val="minMax"/>
        </c:scaling>
        <c:delete val="0"/>
        <c:axPos val="l"/>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0135680"/>
        <c:crosses val="autoZero"/>
        <c:auto val="1"/>
        <c:lblAlgn val="ctr"/>
        <c:lblOffset val="100"/>
        <c:noMultiLvlLbl val="0"/>
      </c:catAx>
      <c:valAx>
        <c:axId val="190135680"/>
        <c:scaling>
          <c:orientation val="minMax"/>
        </c:scaling>
        <c:delete val="1"/>
        <c:axPos val="b"/>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0134144"/>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Sheet2!$M$213</c:f>
              <c:strCache>
                <c:ptCount val="1"/>
                <c:pt idx="0">
                  <c:v>满意度</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Sheet2!$L$214:$L$217</c:f>
              <c:strCache>
                <c:ptCount val="4"/>
                <c:pt idx="0">
                  <c:v>总体满意度</c:v>
                </c:pt>
                <c:pt idx="1">
                  <c:v>工作内容满意度</c:v>
                </c:pt>
                <c:pt idx="2">
                  <c:v>职业发展前景满意度</c:v>
                </c:pt>
                <c:pt idx="3">
                  <c:v>工作薪酬满意度</c:v>
                </c:pt>
              </c:strCache>
            </c:strRef>
          </c:cat>
          <c:val>
            <c:numRef>
              <c:f>Sheet2!$M$214:$M$217</c:f>
              <c:numCache>
                <c:formatCode>0.0%</c:formatCode>
                <c:ptCount val="4"/>
                <c:pt idx="0">
                  <c:v>0.918</c:v>
                </c:pt>
                <c:pt idx="1">
                  <c:v>0.927</c:v>
                </c:pt>
                <c:pt idx="2">
                  <c:v>0.909</c:v>
                </c:pt>
                <c:pt idx="3">
                  <c:v>0.775</c:v>
                </c:pt>
              </c:numCache>
            </c:numRef>
          </c:val>
        </c:ser>
        <c:dLbls>
          <c:showLegendKey val="0"/>
          <c:showVal val="0"/>
          <c:showCatName val="0"/>
          <c:showSerName val="0"/>
          <c:showPercent val="0"/>
          <c:showBubbleSize val="0"/>
        </c:dLbls>
        <c:gapWidth val="150"/>
        <c:axId val="190162048"/>
        <c:axId val="190163584"/>
      </c:barChart>
      <c:lineChart>
        <c:grouping val="standard"/>
        <c:varyColors val="0"/>
        <c:ser>
          <c:idx val="1"/>
          <c:order val="1"/>
          <c:tx>
            <c:strRef>
              <c:f>Sheet2!$N$213</c:f>
              <c:strCache>
                <c:ptCount val="1"/>
                <c:pt idx="0">
                  <c:v>均值</c:v>
                </c:pt>
              </c:strCache>
            </c:strRef>
          </c:tx>
          <c:marker>
            <c:symbol val="none"/>
          </c:marker>
          <c:dLbls>
            <c:delete val="1"/>
          </c:dLbls>
          <c:cat>
            <c:strRef>
              <c:f>Sheet2!$L$214:$L$217</c:f>
              <c:strCache>
                <c:ptCount val="4"/>
                <c:pt idx="0">
                  <c:v>总体满意度</c:v>
                </c:pt>
                <c:pt idx="1">
                  <c:v>工作内容满意度</c:v>
                </c:pt>
                <c:pt idx="2">
                  <c:v>职业发展前景满意度</c:v>
                </c:pt>
                <c:pt idx="3">
                  <c:v>工作薪酬满意度</c:v>
                </c:pt>
              </c:strCache>
            </c:strRef>
          </c:cat>
          <c:val>
            <c:numRef>
              <c:f>Sheet2!$N$214:$N$216</c:f>
              <c:numCache>
                <c:formatCode>General</c:formatCode>
                <c:ptCount val="3"/>
                <c:pt idx="0">
                  <c:v>3.6</c:v>
                </c:pt>
                <c:pt idx="1" c:formatCode="###0.0">
                  <c:v>3.90364583333334</c:v>
                </c:pt>
                <c:pt idx="2" c:formatCode="###0.0">
                  <c:v>3.70260416666666</c:v>
                </c:pt>
              </c:numCache>
            </c:numRef>
          </c:val>
          <c:smooth val="0"/>
        </c:ser>
        <c:dLbls>
          <c:showLegendKey val="0"/>
          <c:showVal val="0"/>
          <c:showCatName val="0"/>
          <c:showSerName val="0"/>
          <c:showPercent val="0"/>
          <c:showBubbleSize val="0"/>
        </c:dLbls>
        <c:marker val="0"/>
        <c:smooth val="0"/>
        <c:axId val="190171008"/>
        <c:axId val="190169472"/>
      </c:lineChart>
      <c:catAx>
        <c:axId val="19016204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0163584"/>
        <c:crosses val="autoZero"/>
        <c:auto val="1"/>
        <c:lblAlgn val="ctr"/>
        <c:lblOffset val="100"/>
        <c:noMultiLvlLbl val="0"/>
      </c:catAx>
      <c:valAx>
        <c:axId val="190163584"/>
        <c:scaling>
          <c:orientation val="minMax"/>
        </c:scaling>
        <c:delete val="0"/>
        <c:axPos val="l"/>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0162048"/>
        <c:crosses val="autoZero"/>
        <c:crossBetween val="between"/>
      </c:valAx>
      <c:catAx>
        <c:axId val="190171008"/>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0169472"/>
        <c:crosses val="autoZero"/>
        <c:auto val="1"/>
        <c:lblAlgn val="ctr"/>
        <c:lblOffset val="100"/>
        <c:noMultiLvlLbl val="0"/>
      </c:catAx>
      <c:valAx>
        <c:axId val="190169472"/>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0171008"/>
        <c:crosses val="max"/>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plotArea>
    <c:plotVisOnly val="1"/>
    <c:dispBlanksAs val="gap"/>
    <c:showDLblsOverMax val="0"/>
  </c:chart>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pieChart>
        <c:varyColors val="1"/>
        <c:ser>
          <c:idx val="0"/>
          <c:order val="0"/>
          <c:explosion val="0"/>
          <c:dPt>
            <c:idx val="0"/>
            <c:bubble3D val="0"/>
          </c:dPt>
          <c:dPt>
            <c:idx val="1"/>
            <c:bubble3D val="0"/>
          </c:dPt>
          <c:dPt>
            <c:idx val="2"/>
            <c:bubble3D val="0"/>
          </c:dPt>
          <c:dPt>
            <c:idx val="3"/>
            <c:bubble3D val="0"/>
          </c:dPt>
          <c:dPt>
            <c:idx val="4"/>
            <c:bubble3D val="0"/>
          </c:dPt>
          <c:dLbls>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Sheet2!$G$348:$G$352</c:f>
              <c:strCache>
                <c:ptCount val="5"/>
                <c:pt idx="0">
                  <c:v>非常一致</c:v>
                </c:pt>
                <c:pt idx="1">
                  <c:v>比较一致</c:v>
                </c:pt>
                <c:pt idx="2">
                  <c:v>一致</c:v>
                </c:pt>
                <c:pt idx="3">
                  <c:v>不太一致</c:v>
                </c:pt>
                <c:pt idx="4">
                  <c:v>很不一致</c:v>
                </c:pt>
              </c:strCache>
            </c:strRef>
          </c:cat>
          <c:val>
            <c:numRef>
              <c:f>Sheet2!$H$348:$H$352</c:f>
              <c:numCache>
                <c:formatCode>###0.0%</c:formatCode>
                <c:ptCount val="5"/>
                <c:pt idx="0">
                  <c:v>0.1328125</c:v>
                </c:pt>
                <c:pt idx="1">
                  <c:v>0.354166666666667</c:v>
                </c:pt>
                <c:pt idx="2">
                  <c:v>0.264583333333333</c:v>
                </c:pt>
                <c:pt idx="3">
                  <c:v>0.225520833333333</c:v>
                </c:pt>
                <c:pt idx="4">
                  <c:v>0.0229166666666667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248611111111111"/>
          <c:y val="0.127314814814815"/>
          <c:w val="0.463888888888889"/>
          <c:h val="0.773148148148148"/>
        </c:manualLayout>
      </c:layout>
      <c:pieChart>
        <c:varyColors val="1"/>
        <c:ser>
          <c:idx val="0"/>
          <c:order val="0"/>
          <c:explosion val="0"/>
          <c:dPt>
            <c:idx val="0"/>
            <c:bubble3D val="0"/>
          </c:dPt>
          <c:dPt>
            <c:idx val="1"/>
            <c:bubble3D val="0"/>
          </c:dPt>
          <c:dPt>
            <c:idx val="2"/>
            <c:bubble3D val="0"/>
          </c:dPt>
          <c:dPt>
            <c:idx val="3"/>
            <c:bubble3D val="0"/>
          </c:dPt>
          <c:dPt>
            <c:idx val="4"/>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Sheet2!$M$482:$M$486</c:f>
              <c:strCache>
                <c:ptCount val="5"/>
                <c:pt idx="0">
                  <c:v>非常满意</c:v>
                </c:pt>
                <c:pt idx="1">
                  <c:v>比较满意</c:v>
                </c:pt>
                <c:pt idx="2">
                  <c:v>满意</c:v>
                </c:pt>
                <c:pt idx="3">
                  <c:v>不太满意</c:v>
                </c:pt>
                <c:pt idx="4">
                  <c:v>很不满意</c:v>
                </c:pt>
              </c:strCache>
            </c:strRef>
          </c:cat>
          <c:val>
            <c:numRef>
              <c:f>Sheet2!$N$482:$N$486</c:f>
              <c:numCache>
                <c:formatCode>###0.00%</c:formatCode>
                <c:ptCount val="5"/>
                <c:pt idx="0">
                  <c:v>0.468085106382979</c:v>
                </c:pt>
                <c:pt idx="1">
                  <c:v>0.361702127659574</c:v>
                </c:pt>
                <c:pt idx="2">
                  <c:v>0.148936170212766</c:v>
                </c:pt>
                <c:pt idx="3">
                  <c:v>0.0212765957446809</c:v>
                </c:pt>
                <c:pt idx="4">
                  <c:v>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Sheet2!$Q$500:$Q$510</c:f>
              <c:strCache>
                <c:ptCount val="11"/>
                <c:pt idx="0">
                  <c:v>创新能力</c:v>
                </c:pt>
                <c:pt idx="1">
                  <c:v>团队合作精神</c:v>
                </c:pt>
                <c:pt idx="2">
                  <c:v>语言表达能力</c:v>
                </c:pt>
                <c:pt idx="3">
                  <c:v>组织协调能力</c:v>
                </c:pt>
                <c:pt idx="4">
                  <c:v>专业知识与技能</c:v>
                </c:pt>
                <c:pt idx="5">
                  <c:v>吃苦耐劳精神</c:v>
                </c:pt>
                <c:pt idx="6">
                  <c:v>敬业精神与职业道德</c:v>
                </c:pt>
                <c:pt idx="7">
                  <c:v>执行力</c:v>
                </c:pt>
                <c:pt idx="8">
                  <c:v>自主学习能力</c:v>
                </c:pt>
                <c:pt idx="9">
                  <c:v>毕业生适应能力</c:v>
                </c:pt>
                <c:pt idx="10">
                  <c:v>灵活应变能力</c:v>
                </c:pt>
              </c:strCache>
            </c:strRef>
          </c:cat>
          <c:val>
            <c:numRef>
              <c:f>Sheet2!$R$500:$R$510</c:f>
              <c:numCache>
                <c:formatCode>0.0%</c:formatCode>
                <c:ptCount val="11"/>
                <c:pt idx="0">
                  <c:v>0.851</c:v>
                </c:pt>
                <c:pt idx="1">
                  <c:v>0.894</c:v>
                </c:pt>
                <c:pt idx="2">
                  <c:v>0.915</c:v>
                </c:pt>
                <c:pt idx="3">
                  <c:v>0.915</c:v>
                </c:pt>
                <c:pt idx="4">
                  <c:v>0.915</c:v>
                </c:pt>
                <c:pt idx="5">
                  <c:v>0.915</c:v>
                </c:pt>
                <c:pt idx="6">
                  <c:v>0.915</c:v>
                </c:pt>
                <c:pt idx="7">
                  <c:v>0.936</c:v>
                </c:pt>
                <c:pt idx="8">
                  <c:v>0.936</c:v>
                </c:pt>
                <c:pt idx="9">
                  <c:v>0.936</c:v>
                </c:pt>
                <c:pt idx="10">
                  <c:v>0.936</c:v>
                </c:pt>
              </c:numCache>
            </c:numRef>
          </c:val>
        </c:ser>
        <c:dLbls>
          <c:showLegendKey val="0"/>
          <c:showVal val="0"/>
          <c:showCatName val="0"/>
          <c:showSerName val="0"/>
          <c:showPercent val="0"/>
          <c:showBubbleSize val="0"/>
        </c:dLbls>
        <c:gapWidth val="150"/>
        <c:axId val="197635072"/>
        <c:axId val="197939968"/>
      </c:barChart>
      <c:catAx>
        <c:axId val="197635072"/>
        <c:scaling>
          <c:orientation val="minMax"/>
        </c:scaling>
        <c:delete val="0"/>
        <c:axPos val="l"/>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7939968"/>
        <c:crosses val="autoZero"/>
        <c:auto val="1"/>
        <c:lblAlgn val="ctr"/>
        <c:lblOffset val="100"/>
        <c:noMultiLvlLbl val="0"/>
      </c:catAx>
      <c:valAx>
        <c:axId val="197939968"/>
        <c:scaling>
          <c:orientation val="minMax"/>
        </c:scaling>
        <c:delete val="1"/>
        <c:axPos val="b"/>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7635072"/>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216666666666667"/>
          <c:y val="0.0281222105301353"/>
          <c:w val="0.708372703412073"/>
          <c:h val="0.700342900685801"/>
        </c:manualLayout>
      </c:layout>
      <c:barChart>
        <c:barDir val="col"/>
        <c:grouping val="clustered"/>
        <c:varyColors val="0"/>
        <c:ser>
          <c:idx val="0"/>
          <c:order val="0"/>
          <c:tx>
            <c:strRef>
              <c:f>Sheet2!$L$616</c:f>
              <c:strCache>
                <c:ptCount val="1"/>
                <c:pt idx="0">
                  <c:v>规模</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Sheet2!$K$617:$K$619</c:f>
              <c:strCache>
                <c:ptCount val="3"/>
                <c:pt idx="0">
                  <c:v>2016届</c:v>
                </c:pt>
                <c:pt idx="1">
                  <c:v>2017届</c:v>
                </c:pt>
                <c:pt idx="2">
                  <c:v>2018届</c:v>
                </c:pt>
              </c:strCache>
            </c:strRef>
          </c:cat>
          <c:val>
            <c:numRef>
              <c:f>Sheet2!$L$617:$L$619</c:f>
              <c:numCache>
                <c:formatCode>General</c:formatCode>
                <c:ptCount val="3"/>
                <c:pt idx="0">
                  <c:v>3283</c:v>
                </c:pt>
                <c:pt idx="1">
                  <c:v>3939</c:v>
                </c:pt>
                <c:pt idx="2">
                  <c:v>4357</c:v>
                </c:pt>
              </c:numCache>
            </c:numRef>
          </c:val>
        </c:ser>
        <c:dLbls>
          <c:showLegendKey val="0"/>
          <c:showVal val="0"/>
          <c:showCatName val="0"/>
          <c:showSerName val="0"/>
          <c:showPercent val="0"/>
          <c:showBubbleSize val="0"/>
        </c:dLbls>
        <c:gapWidth val="150"/>
        <c:axId val="197953792"/>
        <c:axId val="197959680"/>
      </c:barChart>
      <c:lineChart>
        <c:grouping val="standard"/>
        <c:varyColors val="0"/>
        <c:ser>
          <c:idx val="1"/>
          <c:order val="1"/>
          <c:tx>
            <c:strRef>
              <c:f>Sheet2!$M$616</c:f>
              <c:strCache>
                <c:ptCount val="1"/>
                <c:pt idx="0">
                  <c:v>就业率</c:v>
                </c:pt>
              </c:strCache>
            </c:strRef>
          </c:tx>
          <c:dLbls>
            <c:delete val="1"/>
          </c:dLbls>
          <c:cat>
            <c:strRef>
              <c:f>Sheet2!$K$617:$K$619</c:f>
              <c:strCache>
                <c:ptCount val="3"/>
                <c:pt idx="0">
                  <c:v>2016届</c:v>
                </c:pt>
                <c:pt idx="1">
                  <c:v>2017届</c:v>
                </c:pt>
                <c:pt idx="2">
                  <c:v>2018届</c:v>
                </c:pt>
              </c:strCache>
            </c:strRef>
          </c:cat>
          <c:val>
            <c:numRef>
              <c:f>Sheet2!$M$617:$M$619</c:f>
              <c:numCache>
                <c:formatCode>General</c:formatCode>
                <c:ptCount val="3"/>
                <c:pt idx="0">
                  <c:v>96.68</c:v>
                </c:pt>
                <c:pt idx="1">
                  <c:v>97.11</c:v>
                </c:pt>
                <c:pt idx="2">
                  <c:v>97.14</c:v>
                </c:pt>
              </c:numCache>
            </c:numRef>
          </c:val>
          <c:smooth val="0"/>
        </c:ser>
        <c:dLbls>
          <c:showLegendKey val="0"/>
          <c:showVal val="0"/>
          <c:showCatName val="0"/>
          <c:showSerName val="0"/>
          <c:showPercent val="0"/>
          <c:showBubbleSize val="0"/>
        </c:dLbls>
        <c:marker val="1"/>
        <c:smooth val="0"/>
        <c:axId val="197961216"/>
        <c:axId val="197962752"/>
      </c:lineChart>
      <c:catAx>
        <c:axId val="197953792"/>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7959680"/>
        <c:crosses val="autoZero"/>
        <c:auto val="1"/>
        <c:lblAlgn val="ctr"/>
        <c:lblOffset val="100"/>
        <c:noMultiLvlLbl val="0"/>
      </c:catAx>
      <c:valAx>
        <c:axId val="197959680"/>
        <c:scaling>
          <c:orientation val="minMax"/>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7953792"/>
        <c:crosses val="autoZero"/>
        <c:crossBetween val="between"/>
      </c:valAx>
      <c:catAx>
        <c:axId val="197961216"/>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7962752"/>
        <c:crosses val="autoZero"/>
        <c:auto val="1"/>
        <c:lblAlgn val="ctr"/>
        <c:lblOffset val="100"/>
        <c:noMultiLvlLbl val="0"/>
      </c:catAx>
      <c:valAx>
        <c:axId val="197962752"/>
        <c:scaling>
          <c:orientation val="minMax"/>
          <c:min val="0"/>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7961216"/>
        <c:crosses val="max"/>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plotArea>
    <c:plotVisOnly val="1"/>
    <c:dispBlanksAs val="gap"/>
    <c:showDLblsOverMax val="0"/>
  </c:chart>
  <c:txPr>
    <a:bodyPr/>
    <a:lstStyle/>
    <a:p>
      <a:pPr>
        <a:defRPr lang="zh-CN"/>
      </a:pPr>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Sheet2!$L$622</c:f>
              <c:strCache>
                <c:ptCount val="1"/>
                <c:pt idx="0">
                  <c:v>单位就业</c:v>
                </c:pt>
              </c:strCache>
            </c:strRef>
          </c:tx>
          <c:dLbls>
            <c:delete val="1"/>
          </c:dLbls>
          <c:cat>
            <c:strRef>
              <c:f>Sheet2!$K$623:$K$625</c:f>
              <c:strCache>
                <c:ptCount val="3"/>
                <c:pt idx="0">
                  <c:v>2016届</c:v>
                </c:pt>
                <c:pt idx="1">
                  <c:v>2017届</c:v>
                </c:pt>
                <c:pt idx="2">
                  <c:v>2018届</c:v>
                </c:pt>
              </c:strCache>
            </c:strRef>
          </c:cat>
          <c:val>
            <c:numRef>
              <c:f>Sheet2!$L$623:$L$625</c:f>
              <c:numCache>
                <c:formatCode>0.00%</c:formatCode>
                <c:ptCount val="3"/>
                <c:pt idx="0">
                  <c:v>0.9123</c:v>
                </c:pt>
                <c:pt idx="1">
                  <c:v>0.9117</c:v>
                </c:pt>
                <c:pt idx="2">
                  <c:v>0.8791</c:v>
                </c:pt>
              </c:numCache>
            </c:numRef>
          </c:val>
          <c:smooth val="0"/>
        </c:ser>
        <c:ser>
          <c:idx val="1"/>
          <c:order val="1"/>
          <c:tx>
            <c:strRef>
              <c:f>Sheet2!$M$622</c:f>
              <c:strCache>
                <c:ptCount val="1"/>
                <c:pt idx="0">
                  <c:v>继续深造</c:v>
                </c:pt>
              </c:strCache>
            </c:strRef>
          </c:tx>
          <c:dLbls>
            <c:delete val="1"/>
          </c:dLbls>
          <c:cat>
            <c:strRef>
              <c:f>Sheet2!$K$623:$K$625</c:f>
              <c:strCache>
                <c:ptCount val="3"/>
                <c:pt idx="0">
                  <c:v>2016届</c:v>
                </c:pt>
                <c:pt idx="1">
                  <c:v>2017届</c:v>
                </c:pt>
                <c:pt idx="2">
                  <c:v>2018届</c:v>
                </c:pt>
              </c:strCache>
            </c:strRef>
          </c:cat>
          <c:val>
            <c:numRef>
              <c:f>Sheet2!$M$623:$M$625</c:f>
              <c:numCache>
                <c:formatCode>0.00%</c:formatCode>
                <c:ptCount val="3"/>
                <c:pt idx="0">
                  <c:v>0.0533</c:v>
                </c:pt>
                <c:pt idx="1">
                  <c:v>0.0594</c:v>
                </c:pt>
                <c:pt idx="2">
                  <c:v>0.0923</c:v>
                </c:pt>
              </c:numCache>
            </c:numRef>
          </c:val>
          <c:smooth val="0"/>
        </c:ser>
        <c:ser>
          <c:idx val="2"/>
          <c:order val="2"/>
          <c:tx>
            <c:strRef>
              <c:f>Sheet2!$N$622</c:f>
              <c:strCache>
                <c:ptCount val="1"/>
                <c:pt idx="0">
                  <c:v>未就业</c:v>
                </c:pt>
              </c:strCache>
            </c:strRef>
          </c:tx>
          <c:dLbls>
            <c:delete val="1"/>
          </c:dLbls>
          <c:cat>
            <c:strRef>
              <c:f>Sheet2!$K$623:$K$625</c:f>
              <c:strCache>
                <c:ptCount val="3"/>
                <c:pt idx="0">
                  <c:v>2016届</c:v>
                </c:pt>
                <c:pt idx="1">
                  <c:v>2017届</c:v>
                </c:pt>
                <c:pt idx="2">
                  <c:v>2018届</c:v>
                </c:pt>
              </c:strCache>
            </c:strRef>
          </c:cat>
          <c:val>
            <c:numRef>
              <c:f>Sheet2!$N$623:$N$625</c:f>
              <c:numCache>
                <c:formatCode>0.00%</c:formatCode>
                <c:ptCount val="3"/>
                <c:pt idx="0">
                  <c:v>0.0341</c:v>
                </c:pt>
                <c:pt idx="1">
                  <c:v>0.0289</c:v>
                </c:pt>
                <c:pt idx="2">
                  <c:v>0.0286</c:v>
                </c:pt>
              </c:numCache>
            </c:numRef>
          </c:val>
          <c:smooth val="0"/>
        </c:ser>
        <c:dLbls>
          <c:showLegendKey val="0"/>
          <c:showVal val="0"/>
          <c:showCatName val="0"/>
          <c:showSerName val="0"/>
          <c:showPercent val="0"/>
          <c:showBubbleSize val="0"/>
        </c:dLbls>
        <c:marker val="1"/>
        <c:smooth val="0"/>
        <c:axId val="197977984"/>
        <c:axId val="197979520"/>
      </c:lineChart>
      <c:catAx>
        <c:axId val="19797798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7979520"/>
        <c:crosses val="autoZero"/>
        <c:auto val="1"/>
        <c:lblAlgn val="ctr"/>
        <c:lblOffset val="100"/>
        <c:noMultiLvlLbl val="0"/>
      </c:catAx>
      <c:valAx>
        <c:axId val="197979520"/>
        <c:scaling>
          <c:orientation val="minMax"/>
        </c:scaling>
        <c:delete val="0"/>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7977984"/>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Sheet1!$K$48:$K$53</c:f>
              <c:strCache>
                <c:ptCount val="6"/>
                <c:pt idx="0">
                  <c:v>医学技术学院</c:v>
                </c:pt>
                <c:pt idx="1">
                  <c:v>护理学院</c:v>
                </c:pt>
                <c:pt idx="2">
                  <c:v>临床医学院</c:v>
                </c:pt>
                <c:pt idx="3">
                  <c:v>中医学院</c:v>
                </c:pt>
                <c:pt idx="4">
                  <c:v>药学院</c:v>
                </c:pt>
                <c:pt idx="5">
                  <c:v>基础部</c:v>
                </c:pt>
              </c:strCache>
            </c:strRef>
          </c:cat>
          <c:val>
            <c:numRef>
              <c:f>Sheet1!$L$48:$L$53</c:f>
              <c:numCache>
                <c:formatCode>0.00%</c:formatCode>
                <c:ptCount val="6"/>
                <c:pt idx="0">
                  <c:v>0.950757575757576</c:v>
                </c:pt>
                <c:pt idx="1">
                  <c:v>0.962095106822881</c:v>
                </c:pt>
                <c:pt idx="2">
                  <c:v>0.974757281553398</c:v>
                </c:pt>
                <c:pt idx="3">
                  <c:v>0.978947368421053</c:v>
                </c:pt>
                <c:pt idx="4">
                  <c:v>0.985171455050973</c:v>
                </c:pt>
                <c:pt idx="5">
                  <c:v>1</c:v>
                </c:pt>
              </c:numCache>
            </c:numRef>
          </c:val>
        </c:ser>
        <c:dLbls>
          <c:showLegendKey val="0"/>
          <c:showVal val="0"/>
          <c:showCatName val="0"/>
          <c:showSerName val="0"/>
          <c:showPercent val="0"/>
          <c:showBubbleSize val="0"/>
        </c:dLbls>
        <c:gapWidth val="150"/>
        <c:axId val="149906176"/>
        <c:axId val="149907712"/>
      </c:barChart>
      <c:catAx>
        <c:axId val="149906176"/>
        <c:scaling>
          <c:orientation val="minMax"/>
        </c:scaling>
        <c:delete val="0"/>
        <c:axPos val="l"/>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9907712"/>
        <c:crosses val="autoZero"/>
        <c:auto val="1"/>
        <c:lblAlgn val="ctr"/>
        <c:lblOffset val="100"/>
        <c:noMultiLvlLbl val="0"/>
      </c:catAx>
      <c:valAx>
        <c:axId val="149907712"/>
        <c:scaling>
          <c:orientation val="minMax"/>
          <c:min val="0.1"/>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9906176"/>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Sheet2!$K$639:$K$641</c:f>
              <c:strCache>
                <c:ptCount val="3"/>
                <c:pt idx="0">
                  <c:v>2016届</c:v>
                </c:pt>
                <c:pt idx="1">
                  <c:v>2017届</c:v>
                </c:pt>
                <c:pt idx="2">
                  <c:v>2018届</c:v>
                </c:pt>
              </c:strCache>
            </c:strRef>
          </c:cat>
          <c:val>
            <c:numRef>
              <c:f>Sheet2!$L$639:$L$641</c:f>
              <c:numCache>
                <c:formatCode>0.00%</c:formatCode>
                <c:ptCount val="3"/>
                <c:pt idx="0">
                  <c:v>0.8306</c:v>
                </c:pt>
                <c:pt idx="1">
                  <c:v>0.8524</c:v>
                </c:pt>
                <c:pt idx="2">
                  <c:v>0.8555</c:v>
                </c:pt>
              </c:numCache>
            </c:numRef>
          </c:val>
        </c:ser>
        <c:dLbls>
          <c:showLegendKey val="0"/>
          <c:showVal val="0"/>
          <c:showCatName val="0"/>
          <c:showSerName val="0"/>
          <c:showPercent val="0"/>
          <c:showBubbleSize val="0"/>
        </c:dLbls>
        <c:gapWidth val="150"/>
        <c:axId val="198017792"/>
        <c:axId val="198019328"/>
      </c:barChart>
      <c:catAx>
        <c:axId val="19801779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8019328"/>
        <c:crosses val="autoZero"/>
        <c:auto val="1"/>
        <c:lblAlgn val="ctr"/>
        <c:lblOffset val="100"/>
        <c:noMultiLvlLbl val="0"/>
      </c:catAx>
      <c:valAx>
        <c:axId val="198019328"/>
        <c:scaling>
          <c:orientation val="minMax"/>
          <c:min val="0.1"/>
        </c:scaling>
        <c:delete val="0"/>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8017792"/>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Sheet2!$K$646</c:f>
              <c:strCache>
                <c:ptCount val="1"/>
                <c:pt idx="0">
                  <c:v>2016届</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Sheet2!$L$645:$N$645</c:f>
              <c:strCache>
                <c:ptCount val="3"/>
                <c:pt idx="0">
                  <c:v>卫生和社会工作</c:v>
                </c:pt>
                <c:pt idx="1">
                  <c:v>批发零售业</c:v>
                </c:pt>
                <c:pt idx="2">
                  <c:v>居民服务、维修和其他服务业</c:v>
                </c:pt>
              </c:strCache>
            </c:strRef>
          </c:cat>
          <c:val>
            <c:numRef>
              <c:f>Sheet2!$L$646:$N$646</c:f>
              <c:numCache>
                <c:formatCode>0.00%</c:formatCode>
                <c:ptCount val="3"/>
                <c:pt idx="0">
                  <c:v>0.6089</c:v>
                </c:pt>
                <c:pt idx="1">
                  <c:v>0.243</c:v>
                </c:pt>
                <c:pt idx="2">
                  <c:v>0.0851</c:v>
                </c:pt>
              </c:numCache>
            </c:numRef>
          </c:val>
        </c:ser>
        <c:ser>
          <c:idx val="1"/>
          <c:order val="1"/>
          <c:tx>
            <c:strRef>
              <c:f>Sheet2!$K$647</c:f>
              <c:strCache>
                <c:ptCount val="1"/>
                <c:pt idx="0">
                  <c:v>2017届</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Sheet2!$L$645:$N$645</c:f>
              <c:strCache>
                <c:ptCount val="3"/>
                <c:pt idx="0">
                  <c:v>卫生和社会工作</c:v>
                </c:pt>
                <c:pt idx="1">
                  <c:v>批发零售业</c:v>
                </c:pt>
                <c:pt idx="2">
                  <c:v>居民服务、维修和其他服务业</c:v>
                </c:pt>
              </c:strCache>
            </c:strRef>
          </c:cat>
          <c:val>
            <c:numRef>
              <c:f>Sheet2!$L$647:$N$647</c:f>
              <c:numCache>
                <c:formatCode>0.00%</c:formatCode>
                <c:ptCount val="3"/>
                <c:pt idx="0">
                  <c:v>0.6462</c:v>
                </c:pt>
                <c:pt idx="1">
                  <c:v>0.3028</c:v>
                </c:pt>
                <c:pt idx="2">
                  <c:v>0.0242</c:v>
                </c:pt>
              </c:numCache>
            </c:numRef>
          </c:val>
        </c:ser>
        <c:ser>
          <c:idx val="2"/>
          <c:order val="2"/>
          <c:tx>
            <c:strRef>
              <c:f>Sheet2!$K$648</c:f>
              <c:strCache>
                <c:ptCount val="1"/>
                <c:pt idx="0">
                  <c:v>2018届</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Sheet2!$L$645:$N$645</c:f>
              <c:strCache>
                <c:ptCount val="3"/>
                <c:pt idx="0">
                  <c:v>卫生和社会工作</c:v>
                </c:pt>
                <c:pt idx="1">
                  <c:v>批发零售业</c:v>
                </c:pt>
                <c:pt idx="2">
                  <c:v>居民服务、维修和其他服务业</c:v>
                </c:pt>
              </c:strCache>
            </c:strRef>
          </c:cat>
          <c:val>
            <c:numRef>
              <c:f>Sheet2!$L$648:$N$648</c:f>
              <c:numCache>
                <c:formatCode>0.00%</c:formatCode>
                <c:ptCount val="3"/>
                <c:pt idx="0">
                  <c:v>0.5118</c:v>
                </c:pt>
                <c:pt idx="1">
                  <c:v>0.4059</c:v>
                </c:pt>
                <c:pt idx="2">
                  <c:v>0.0823</c:v>
                </c:pt>
              </c:numCache>
            </c:numRef>
          </c:val>
        </c:ser>
        <c:dLbls>
          <c:showLegendKey val="0"/>
          <c:showVal val="0"/>
          <c:showCatName val="0"/>
          <c:showSerName val="0"/>
          <c:showPercent val="0"/>
          <c:showBubbleSize val="0"/>
        </c:dLbls>
        <c:gapWidth val="150"/>
        <c:axId val="198332800"/>
        <c:axId val="198334336"/>
      </c:barChart>
      <c:catAx>
        <c:axId val="19833280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8334336"/>
        <c:crosses val="autoZero"/>
        <c:auto val="1"/>
        <c:lblAlgn val="ctr"/>
        <c:lblOffset val="100"/>
        <c:noMultiLvlLbl val="0"/>
      </c:catAx>
      <c:valAx>
        <c:axId val="198334336"/>
        <c:scaling>
          <c:orientation val="minMax"/>
        </c:scaling>
        <c:delete val="0"/>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8332800"/>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plotArea>
    <c:plotVisOnly val="1"/>
    <c:dispBlanksAs val="gap"/>
    <c:showDLblsOverMax val="0"/>
  </c:chart>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clustered"/>
        <c:varyColors val="0"/>
        <c:ser>
          <c:idx val="0"/>
          <c:order val="0"/>
          <c:tx>
            <c:strRef>
              <c:f>Sheet2!$K$653</c:f>
              <c:strCache>
                <c:ptCount val="1"/>
                <c:pt idx="0">
                  <c:v>2016届</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Sheet2!$L$652:$P$652</c:f>
              <c:strCache>
                <c:ptCount val="5"/>
                <c:pt idx="0">
                  <c:v>其他企业</c:v>
                </c:pt>
                <c:pt idx="1">
                  <c:v>医疗卫生单位</c:v>
                </c:pt>
                <c:pt idx="2">
                  <c:v>其他事业单位</c:v>
                </c:pt>
                <c:pt idx="3">
                  <c:v>机关</c:v>
                </c:pt>
                <c:pt idx="4">
                  <c:v>国有企业</c:v>
                </c:pt>
              </c:strCache>
            </c:strRef>
          </c:cat>
          <c:val>
            <c:numRef>
              <c:f>Sheet2!$L$653:$P$653</c:f>
              <c:numCache>
                <c:formatCode>0.00%</c:formatCode>
                <c:ptCount val="5"/>
                <c:pt idx="0">
                  <c:v>0.5834</c:v>
                </c:pt>
                <c:pt idx="1">
                  <c:v>0.3924</c:v>
                </c:pt>
                <c:pt idx="2">
                  <c:v>0.0101</c:v>
                </c:pt>
                <c:pt idx="3">
                  <c:v>0.0077</c:v>
                </c:pt>
                <c:pt idx="4">
                  <c:v>0.002</c:v>
                </c:pt>
              </c:numCache>
            </c:numRef>
          </c:val>
        </c:ser>
        <c:ser>
          <c:idx val="1"/>
          <c:order val="1"/>
          <c:tx>
            <c:strRef>
              <c:f>Sheet2!$K$654</c:f>
              <c:strCache>
                <c:ptCount val="1"/>
                <c:pt idx="0">
                  <c:v>2017届</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Sheet2!$L$652:$P$652</c:f>
              <c:strCache>
                <c:ptCount val="5"/>
                <c:pt idx="0">
                  <c:v>其他企业</c:v>
                </c:pt>
                <c:pt idx="1">
                  <c:v>医疗卫生单位</c:v>
                </c:pt>
                <c:pt idx="2">
                  <c:v>其他事业单位</c:v>
                </c:pt>
                <c:pt idx="3">
                  <c:v>机关</c:v>
                </c:pt>
                <c:pt idx="4">
                  <c:v>国有企业</c:v>
                </c:pt>
              </c:strCache>
            </c:strRef>
          </c:cat>
          <c:val>
            <c:numRef>
              <c:f>Sheet2!$L$654:$P$654</c:f>
              <c:numCache>
                <c:formatCode>0.00%</c:formatCode>
                <c:ptCount val="5"/>
                <c:pt idx="0">
                  <c:v>0.5302</c:v>
                </c:pt>
                <c:pt idx="1">
                  <c:v>0.4578</c:v>
                </c:pt>
                <c:pt idx="2">
                  <c:v>0.0011</c:v>
                </c:pt>
                <c:pt idx="3">
                  <c:v>0.00222</c:v>
                </c:pt>
                <c:pt idx="4">
                  <c:v>0.0084</c:v>
                </c:pt>
              </c:numCache>
            </c:numRef>
          </c:val>
        </c:ser>
        <c:ser>
          <c:idx val="2"/>
          <c:order val="2"/>
          <c:tx>
            <c:strRef>
              <c:f>Sheet2!$K$655</c:f>
              <c:strCache>
                <c:ptCount val="1"/>
                <c:pt idx="0">
                  <c:v>2018届</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Sheet2!$L$652:$P$652</c:f>
              <c:strCache>
                <c:ptCount val="5"/>
                <c:pt idx="0">
                  <c:v>其他企业</c:v>
                </c:pt>
                <c:pt idx="1">
                  <c:v>医疗卫生单位</c:v>
                </c:pt>
                <c:pt idx="2">
                  <c:v>其他事业单位</c:v>
                </c:pt>
                <c:pt idx="3">
                  <c:v>机关</c:v>
                </c:pt>
                <c:pt idx="4">
                  <c:v>国有企业</c:v>
                </c:pt>
              </c:strCache>
            </c:strRef>
          </c:cat>
          <c:val>
            <c:numRef>
              <c:f>Sheet2!$L$655:$P$655</c:f>
              <c:numCache>
                <c:formatCode>0.00%</c:formatCode>
                <c:ptCount val="5"/>
                <c:pt idx="0">
                  <c:v>0.5593</c:v>
                </c:pt>
                <c:pt idx="1">
                  <c:v>0.3076</c:v>
                </c:pt>
                <c:pt idx="2">
                  <c:v>0.0207</c:v>
                </c:pt>
                <c:pt idx="3">
                  <c:v>0.1111</c:v>
                </c:pt>
                <c:pt idx="4">
                  <c:v>0.0005</c:v>
                </c:pt>
              </c:numCache>
            </c:numRef>
          </c:val>
        </c:ser>
        <c:dLbls>
          <c:showLegendKey val="0"/>
          <c:showVal val="0"/>
          <c:showCatName val="0"/>
          <c:showSerName val="0"/>
          <c:showPercent val="0"/>
          <c:showBubbleSize val="0"/>
        </c:dLbls>
        <c:gapWidth val="150"/>
        <c:axId val="198354432"/>
        <c:axId val="198355968"/>
      </c:barChart>
      <c:catAx>
        <c:axId val="198354432"/>
        <c:scaling>
          <c:orientation val="maxMin"/>
        </c:scaling>
        <c:delete val="0"/>
        <c:axPos val="l"/>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8355968"/>
        <c:crosses val="autoZero"/>
        <c:auto val="1"/>
        <c:lblAlgn val="ctr"/>
        <c:lblOffset val="100"/>
        <c:noMultiLvlLbl val="0"/>
      </c:catAx>
      <c:valAx>
        <c:axId val="198355968"/>
        <c:scaling>
          <c:orientation val="minMax"/>
        </c:scaling>
        <c:delete val="1"/>
        <c:axPos val="t"/>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8354432"/>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0400572246065808"/>
          <c:y val="0.0788177339901478"/>
          <c:w val="0.937111603944457"/>
          <c:h val="0.761219442854998"/>
        </c:manualLayout>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Sheet1!$I$28:$I$32</c:f>
              <c:strCache>
                <c:ptCount val="5"/>
                <c:pt idx="0">
                  <c:v>非常满意</c:v>
                </c:pt>
                <c:pt idx="1">
                  <c:v>比较满意</c:v>
                </c:pt>
                <c:pt idx="2">
                  <c:v>满意</c:v>
                </c:pt>
                <c:pt idx="3">
                  <c:v>不太满意</c:v>
                </c:pt>
                <c:pt idx="4">
                  <c:v>很不满意</c:v>
                </c:pt>
              </c:strCache>
            </c:strRef>
          </c:cat>
          <c:val>
            <c:numRef>
              <c:f>Sheet1!$J$28:$J$32</c:f>
              <c:numCache>
                <c:formatCode>0.00%</c:formatCode>
                <c:ptCount val="5"/>
                <c:pt idx="0">
                  <c:v>0.362494767685224</c:v>
                </c:pt>
                <c:pt idx="1">
                  <c:v>0.325659271661783</c:v>
                </c:pt>
                <c:pt idx="2">
                  <c:v>0.28212641272499</c:v>
                </c:pt>
                <c:pt idx="3">
                  <c:v>0.0276266220175806</c:v>
                </c:pt>
                <c:pt idx="4">
                  <c:v>0.00209292591042277</c:v>
                </c:pt>
              </c:numCache>
            </c:numRef>
          </c:val>
        </c:ser>
        <c:dLbls>
          <c:showLegendKey val="0"/>
          <c:showVal val="0"/>
          <c:showCatName val="0"/>
          <c:showSerName val="0"/>
          <c:showPercent val="0"/>
          <c:showBubbleSize val="0"/>
        </c:dLbls>
        <c:gapWidth val="150"/>
        <c:axId val="198462080"/>
        <c:axId val="198476160"/>
      </c:barChart>
      <c:catAx>
        <c:axId val="19846208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8476160"/>
        <c:crosses val="autoZero"/>
        <c:auto val="1"/>
        <c:lblAlgn val="ctr"/>
        <c:lblOffset val="100"/>
        <c:noMultiLvlLbl val="0"/>
      </c:catAx>
      <c:valAx>
        <c:axId val="198476160"/>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8462080"/>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invertIfNegative val="0"/>
          <c:dLbls>
            <c:dLbl>
              <c:idx val="3"/>
              <c:layout>
                <c:manualLayout>
                  <c:x val="-0.00869531933508301"/>
                  <c:y val="0.00417687372411782"/>
                </c:manualLayout>
              </c:layout>
              <c:dLblPos val="outEnd"/>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Sheet2!$G$371:$G$374</c:f>
              <c:strCache>
                <c:ptCount val="4"/>
                <c:pt idx="0">
                  <c:v>非常愿意推荐</c:v>
                </c:pt>
                <c:pt idx="1">
                  <c:v>愿意推荐</c:v>
                </c:pt>
                <c:pt idx="2">
                  <c:v>不确定</c:v>
                </c:pt>
                <c:pt idx="3">
                  <c:v>不推荐</c:v>
                </c:pt>
              </c:strCache>
            </c:strRef>
          </c:cat>
          <c:val>
            <c:numRef>
              <c:f>Sheet2!$H$371:$H$374</c:f>
              <c:numCache>
                <c:formatCode>###0.00%</c:formatCode>
                <c:ptCount val="4"/>
                <c:pt idx="0">
                  <c:v>0.359780047132757</c:v>
                </c:pt>
                <c:pt idx="1">
                  <c:v>0.315439748625295</c:v>
                </c:pt>
                <c:pt idx="2">
                  <c:v>0.336213668499607</c:v>
                </c:pt>
                <c:pt idx="3">
                  <c:v>0.0562749410840534</c:v>
                </c:pt>
              </c:numCache>
            </c:numRef>
          </c:val>
        </c:ser>
        <c:dLbls>
          <c:showLegendKey val="0"/>
          <c:showVal val="0"/>
          <c:showCatName val="0"/>
          <c:showSerName val="0"/>
          <c:showPercent val="0"/>
          <c:showBubbleSize val="0"/>
        </c:dLbls>
        <c:gapWidth val="150"/>
        <c:axId val="198508544"/>
        <c:axId val="198510080"/>
      </c:barChart>
      <c:catAx>
        <c:axId val="19850854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8510080"/>
        <c:crosses val="autoZero"/>
        <c:auto val="1"/>
        <c:lblAlgn val="ctr"/>
        <c:lblOffset val="100"/>
        <c:noMultiLvlLbl val="0"/>
      </c:catAx>
      <c:valAx>
        <c:axId val="198510080"/>
        <c:scaling>
          <c:orientation val="minMax"/>
        </c:scaling>
        <c:delete val="0"/>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8508544"/>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bar"/>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Sheet1!$I$67:$I$70</c:f>
              <c:strCache>
                <c:ptCount val="4"/>
                <c:pt idx="0">
                  <c:v>其他</c:v>
                </c:pt>
                <c:pt idx="1">
                  <c:v>课堂严格管理
纪律良好</c:v>
                </c:pt>
                <c:pt idx="2">
                  <c:v>课堂上师生关系
民主平等和谐</c:v>
                </c:pt>
                <c:pt idx="3">
                  <c:v>课堂学习气氛
热烈活跃</c:v>
                </c:pt>
              </c:strCache>
            </c:strRef>
          </c:cat>
          <c:val>
            <c:numRef>
              <c:f>Sheet1!$J$67:$J$70</c:f>
              <c:numCache>
                <c:formatCode>###0.0%</c:formatCode>
                <c:ptCount val="4"/>
                <c:pt idx="0">
                  <c:v>0.149434910004186</c:v>
                </c:pt>
                <c:pt idx="1">
                  <c:v>0.387609878610297</c:v>
                </c:pt>
                <c:pt idx="2">
                  <c:v>0.389284219338635</c:v>
                </c:pt>
                <c:pt idx="3">
                  <c:v>0.687735454164923</c:v>
                </c:pt>
              </c:numCache>
            </c:numRef>
          </c:val>
        </c:ser>
        <c:dLbls>
          <c:showLegendKey val="0"/>
          <c:showVal val="0"/>
          <c:showCatName val="0"/>
          <c:showSerName val="0"/>
          <c:showPercent val="0"/>
          <c:showBubbleSize val="0"/>
        </c:dLbls>
        <c:gapWidth val="150"/>
        <c:axId val="37344384"/>
        <c:axId val="37345920"/>
      </c:barChart>
      <c:catAx>
        <c:axId val="37344384"/>
        <c:scaling>
          <c:orientation val="minMax"/>
        </c:scaling>
        <c:delete val="0"/>
        <c:axPos val="l"/>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345920"/>
        <c:crosses val="autoZero"/>
        <c:auto val="1"/>
        <c:lblAlgn val="ctr"/>
        <c:lblOffset val="100"/>
        <c:noMultiLvlLbl val="0"/>
      </c:catAx>
      <c:valAx>
        <c:axId val="37345920"/>
        <c:scaling>
          <c:orientation val="minMax"/>
        </c:scaling>
        <c:delete val="1"/>
        <c:axPos val="b"/>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344384"/>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Sheet1!$H$55:$H$59</c:f>
              <c:strCache>
                <c:ptCount val="5"/>
                <c:pt idx="0">
                  <c:v>非常满意</c:v>
                </c:pt>
                <c:pt idx="1">
                  <c:v>比较满意</c:v>
                </c:pt>
                <c:pt idx="2">
                  <c:v>满意</c:v>
                </c:pt>
                <c:pt idx="3">
                  <c:v>不太满意</c:v>
                </c:pt>
                <c:pt idx="4">
                  <c:v>很不满意</c:v>
                </c:pt>
              </c:strCache>
            </c:strRef>
          </c:cat>
          <c:val>
            <c:numRef>
              <c:f>Sheet1!$I$55:$I$59</c:f>
              <c:numCache>
                <c:formatCode>0.00%</c:formatCode>
                <c:ptCount val="5"/>
                <c:pt idx="0">
                  <c:v>0.349100041858518</c:v>
                </c:pt>
                <c:pt idx="1">
                  <c:v>0.329845123482629</c:v>
                </c:pt>
                <c:pt idx="2">
                  <c:v>0.300962745918794</c:v>
                </c:pt>
                <c:pt idx="3">
                  <c:v>0.0184177480117204</c:v>
                </c:pt>
                <c:pt idx="4">
                  <c:v>0.00167434072833822</c:v>
                </c:pt>
              </c:numCache>
            </c:numRef>
          </c:val>
        </c:ser>
        <c:dLbls>
          <c:showLegendKey val="0"/>
          <c:showVal val="0"/>
          <c:showCatName val="0"/>
          <c:showSerName val="0"/>
          <c:showPercent val="0"/>
          <c:showBubbleSize val="0"/>
        </c:dLbls>
        <c:gapWidth val="150"/>
        <c:axId val="229902592"/>
        <c:axId val="229908480"/>
      </c:barChart>
      <c:catAx>
        <c:axId val="22990259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9908480"/>
        <c:crosses val="autoZero"/>
        <c:auto val="1"/>
        <c:lblAlgn val="ctr"/>
        <c:lblOffset val="100"/>
        <c:noMultiLvlLbl val="0"/>
      </c:catAx>
      <c:valAx>
        <c:axId val="229908480"/>
        <c:scaling>
          <c:orientation val="minMax"/>
          <c:max val="0.4"/>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9902592"/>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bar"/>
        <c:grouping val="clustered"/>
        <c:varyColors val="0"/>
        <c:ser>
          <c:idx val="0"/>
          <c:order val="0"/>
          <c:invertIfNegative val="0"/>
          <c:dLbls>
            <c:dLbl>
              <c:idx val="4"/>
              <c:layout>
                <c:manualLayout>
                  <c:x val="0"/>
                  <c:y val="-0.069414332511049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Sheet1!$C$106:$C$110</c:f>
              <c:strCache>
                <c:ptCount val="5"/>
                <c:pt idx="0">
                  <c:v>其他</c:v>
                </c:pt>
                <c:pt idx="1">
                  <c:v>毕业论文
毕业设计</c:v>
                </c:pt>
                <c:pt idx="2">
                  <c:v>课程设计</c:v>
                </c:pt>
                <c:pt idx="3">
                  <c:v>课程的实践教学
（实践课程作业、实验）</c:v>
                </c:pt>
                <c:pt idx="4">
                  <c:v>专业实习
见习</c:v>
                </c:pt>
              </c:strCache>
            </c:strRef>
          </c:cat>
          <c:val>
            <c:numRef>
              <c:f>Sheet1!$D$106:$D$110</c:f>
              <c:numCache>
                <c:formatCode>###0.00%</c:formatCode>
                <c:ptCount val="5"/>
                <c:pt idx="0">
                  <c:v>0.0933444956048556</c:v>
                </c:pt>
                <c:pt idx="1">
                  <c:v>0.253244035161155</c:v>
                </c:pt>
                <c:pt idx="2">
                  <c:v>0.284219338635412</c:v>
                </c:pt>
                <c:pt idx="3">
                  <c:v>0.496442025952281</c:v>
                </c:pt>
                <c:pt idx="4">
                  <c:v>0.655085809962327</c:v>
                </c:pt>
              </c:numCache>
            </c:numRef>
          </c:val>
        </c:ser>
        <c:dLbls>
          <c:showLegendKey val="0"/>
          <c:showVal val="0"/>
          <c:showCatName val="0"/>
          <c:showSerName val="0"/>
          <c:showPercent val="0"/>
          <c:showBubbleSize val="0"/>
        </c:dLbls>
        <c:gapWidth val="150"/>
        <c:axId val="229924224"/>
        <c:axId val="198562944"/>
      </c:barChart>
      <c:catAx>
        <c:axId val="229924224"/>
        <c:scaling>
          <c:orientation val="minMax"/>
        </c:scaling>
        <c:delete val="0"/>
        <c:axPos val="l"/>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8562944"/>
        <c:crosses val="autoZero"/>
        <c:auto val="1"/>
        <c:lblAlgn val="ctr"/>
        <c:lblOffset val="100"/>
        <c:noMultiLvlLbl val="0"/>
      </c:catAx>
      <c:valAx>
        <c:axId val="198562944"/>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9924224"/>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Sheet1!$C$92:$C$96</c:f>
              <c:strCache>
                <c:ptCount val="5"/>
                <c:pt idx="0">
                  <c:v>比较满意</c:v>
                </c:pt>
                <c:pt idx="1">
                  <c:v>非常满意</c:v>
                </c:pt>
                <c:pt idx="2">
                  <c:v>满意</c:v>
                </c:pt>
                <c:pt idx="3">
                  <c:v>不太满意</c:v>
                </c:pt>
                <c:pt idx="4">
                  <c:v>很不满意</c:v>
                </c:pt>
              </c:strCache>
            </c:strRef>
          </c:cat>
          <c:val>
            <c:numRef>
              <c:f>Sheet1!$D$92:$D$96</c:f>
              <c:numCache>
                <c:formatCode>0.00%</c:formatCode>
                <c:ptCount val="5"/>
                <c:pt idx="0">
                  <c:v>0.344914190037673</c:v>
                </c:pt>
                <c:pt idx="1">
                  <c:v>0.334449560485559</c:v>
                </c:pt>
                <c:pt idx="2">
                  <c:v>0.285056508999581</c:v>
                </c:pt>
                <c:pt idx="3">
                  <c:v>0.0313938886563416</c:v>
                </c:pt>
                <c:pt idx="4">
                  <c:v>0.00418585182084554</c:v>
                </c:pt>
              </c:numCache>
            </c:numRef>
          </c:val>
        </c:ser>
        <c:dLbls>
          <c:showLegendKey val="0"/>
          <c:showVal val="0"/>
          <c:showCatName val="0"/>
          <c:showSerName val="0"/>
          <c:showPercent val="0"/>
          <c:showBubbleSize val="0"/>
        </c:dLbls>
        <c:gapWidth val="150"/>
        <c:axId val="229970688"/>
        <c:axId val="229972224"/>
      </c:barChart>
      <c:catAx>
        <c:axId val="22997068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9972224"/>
        <c:crosses val="autoZero"/>
        <c:auto val="1"/>
        <c:lblAlgn val="ctr"/>
        <c:lblOffset val="100"/>
        <c:noMultiLvlLbl val="0"/>
      </c:catAx>
      <c:valAx>
        <c:axId val="229972224"/>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9970688"/>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Sheet2!$N$663</c:f>
              <c:strCache>
                <c:ptCount val="1"/>
                <c:pt idx="0">
                  <c:v>满意度</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Sheet2!$M$664:$M$667</c:f>
              <c:strCache>
                <c:ptCount val="4"/>
                <c:pt idx="0">
                  <c:v>课任教师总体满意度</c:v>
                </c:pt>
                <c:pt idx="1">
                  <c:v>教学态度</c:v>
                </c:pt>
                <c:pt idx="2">
                  <c:v>教学水平</c:v>
                </c:pt>
                <c:pt idx="3">
                  <c:v>与学生课外沟通交流</c:v>
                </c:pt>
              </c:strCache>
            </c:strRef>
          </c:cat>
          <c:val>
            <c:numRef>
              <c:f>Sheet2!$N$664:$N$667</c:f>
              <c:numCache>
                <c:formatCode>0.00%</c:formatCode>
                <c:ptCount val="4"/>
                <c:pt idx="0">
                  <c:v>0.9599</c:v>
                </c:pt>
                <c:pt idx="1">
                  <c:v>0.9694</c:v>
                </c:pt>
                <c:pt idx="2">
                  <c:v>0.9694</c:v>
                </c:pt>
                <c:pt idx="3">
                  <c:v>0.941</c:v>
                </c:pt>
              </c:numCache>
            </c:numRef>
          </c:val>
        </c:ser>
        <c:dLbls>
          <c:showLegendKey val="0"/>
          <c:showVal val="0"/>
          <c:showCatName val="0"/>
          <c:showSerName val="0"/>
          <c:showPercent val="0"/>
          <c:showBubbleSize val="0"/>
        </c:dLbls>
        <c:gapWidth val="150"/>
        <c:axId val="230080512"/>
        <c:axId val="230082048"/>
      </c:barChart>
      <c:lineChart>
        <c:grouping val="standard"/>
        <c:varyColors val="0"/>
        <c:ser>
          <c:idx val="1"/>
          <c:order val="1"/>
          <c:tx>
            <c:strRef>
              <c:f>Sheet2!$O$663</c:f>
              <c:strCache>
                <c:ptCount val="1"/>
                <c:pt idx="0">
                  <c:v>均值</c:v>
                </c:pt>
              </c:strCache>
            </c:strRef>
          </c:tx>
          <c:marker>
            <c:symbol val="none"/>
          </c:marker>
          <c:dLbls>
            <c:delete val="1"/>
          </c:dLbls>
          <c:cat>
            <c:strRef>
              <c:f>Sheet2!$M$664:$M$667</c:f>
              <c:strCache>
                <c:ptCount val="4"/>
                <c:pt idx="0">
                  <c:v>课任教师总体满意度</c:v>
                </c:pt>
                <c:pt idx="1">
                  <c:v>教学态度</c:v>
                </c:pt>
                <c:pt idx="2">
                  <c:v>教学水平</c:v>
                </c:pt>
                <c:pt idx="3">
                  <c:v>与学生课外沟通交流</c:v>
                </c:pt>
              </c:strCache>
            </c:strRef>
          </c:cat>
          <c:val>
            <c:numRef>
              <c:f>Sheet2!$O$664:$O$667</c:f>
              <c:numCache>
                <c:formatCode>General</c:formatCode>
                <c:ptCount val="4"/>
                <c:pt idx="0">
                  <c:v>4.02</c:v>
                </c:pt>
                <c:pt idx="1">
                  <c:v>4.07</c:v>
                </c:pt>
                <c:pt idx="2">
                  <c:v>4.07</c:v>
                </c:pt>
                <c:pt idx="3">
                  <c:v>3.93</c:v>
                </c:pt>
              </c:numCache>
            </c:numRef>
          </c:val>
          <c:smooth val="0"/>
        </c:ser>
        <c:dLbls>
          <c:showLegendKey val="0"/>
          <c:showVal val="0"/>
          <c:showCatName val="0"/>
          <c:showSerName val="0"/>
          <c:showPercent val="0"/>
          <c:showBubbleSize val="0"/>
        </c:dLbls>
        <c:marker val="0"/>
        <c:smooth val="0"/>
        <c:axId val="230085376"/>
        <c:axId val="230083584"/>
      </c:lineChart>
      <c:catAx>
        <c:axId val="23008051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0082048"/>
        <c:crosses val="autoZero"/>
        <c:auto val="1"/>
        <c:lblAlgn val="ctr"/>
        <c:lblOffset val="100"/>
        <c:noMultiLvlLbl val="0"/>
      </c:catAx>
      <c:valAx>
        <c:axId val="230082048"/>
        <c:scaling>
          <c:orientation val="minMax"/>
          <c:min val="0.1"/>
        </c:scaling>
        <c:delete val="0"/>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0080512"/>
        <c:crosses val="autoZero"/>
        <c:crossBetween val="between"/>
      </c:valAx>
      <c:catAx>
        <c:axId val="230085376"/>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0083584"/>
        <c:crosses val="autoZero"/>
        <c:auto val="1"/>
        <c:lblAlgn val="ctr"/>
        <c:lblOffset val="100"/>
        <c:noMultiLvlLbl val="0"/>
      </c:catAx>
      <c:valAx>
        <c:axId val="230083584"/>
        <c:scaling>
          <c:orientation val="minMax"/>
          <c:min val="1"/>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0085376"/>
        <c:crosses val="max"/>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plotArea>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Sheet2!$G$858:$G$864</c:f>
              <c:strCache>
                <c:ptCount val="7"/>
                <c:pt idx="0">
                  <c:v>准备出国</c:v>
                </c:pt>
                <c:pt idx="1">
                  <c:v>准备创业</c:v>
                </c:pt>
                <c:pt idx="2">
                  <c:v>在准备升学考试</c:v>
                </c:pt>
                <c:pt idx="3">
                  <c:v>准备公务员、事业单位等招考</c:v>
                </c:pt>
                <c:pt idx="4">
                  <c:v>在等待单位签约</c:v>
                </c:pt>
                <c:pt idx="5">
                  <c:v>暂时不就业</c:v>
                </c:pt>
                <c:pt idx="6">
                  <c:v>正在择业尚未落实就业单位</c:v>
                </c:pt>
              </c:strCache>
            </c:strRef>
          </c:cat>
          <c:val>
            <c:numRef>
              <c:f>Sheet2!$H$858:$H$864</c:f>
              <c:numCache>
                <c:formatCode>0.00%</c:formatCode>
                <c:ptCount val="7"/>
                <c:pt idx="0">
                  <c:v>0.00769230769230769</c:v>
                </c:pt>
                <c:pt idx="1">
                  <c:v>0.0153846153846154</c:v>
                </c:pt>
                <c:pt idx="2">
                  <c:v>0.0307692307692308</c:v>
                </c:pt>
                <c:pt idx="3">
                  <c:v>0.0769230769230769</c:v>
                </c:pt>
                <c:pt idx="4">
                  <c:v>0.115384615384615</c:v>
                </c:pt>
                <c:pt idx="5">
                  <c:v>0.153846153846154</c:v>
                </c:pt>
                <c:pt idx="6">
                  <c:v>0.6</c:v>
                </c:pt>
              </c:numCache>
            </c:numRef>
          </c:val>
        </c:ser>
        <c:dLbls>
          <c:showLegendKey val="0"/>
          <c:showVal val="0"/>
          <c:showCatName val="0"/>
          <c:showSerName val="0"/>
          <c:showPercent val="0"/>
          <c:showBubbleSize val="0"/>
        </c:dLbls>
        <c:gapWidth val="150"/>
        <c:axId val="180230016"/>
        <c:axId val="180231552"/>
      </c:barChart>
      <c:catAx>
        <c:axId val="180230016"/>
        <c:scaling>
          <c:orientation val="minMax"/>
        </c:scaling>
        <c:delete val="0"/>
        <c:axPos val="l"/>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0231552"/>
        <c:crosses val="autoZero"/>
        <c:auto val="1"/>
        <c:lblAlgn val="ctr"/>
        <c:lblOffset val="100"/>
        <c:noMultiLvlLbl val="0"/>
      </c:catAx>
      <c:valAx>
        <c:axId val="180231552"/>
        <c:scaling>
          <c:orientation val="minMax"/>
        </c:scaling>
        <c:delete val="0"/>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0230016"/>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bar"/>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Sheet2!$I$749:$I$758</c:f>
              <c:strCache>
                <c:ptCount val="10"/>
                <c:pt idx="0">
                  <c:v>口头表达</c:v>
                </c:pt>
                <c:pt idx="1">
                  <c:v>服务他人</c:v>
                </c:pt>
                <c:pt idx="2">
                  <c:v>倾听理解</c:v>
                </c:pt>
                <c:pt idx="3">
                  <c:v>团队协作</c:v>
                </c:pt>
                <c:pt idx="4">
                  <c:v>发现问题和解决复杂问题</c:v>
                </c:pt>
                <c:pt idx="5">
                  <c:v>信息收集与获取</c:v>
                </c:pt>
                <c:pt idx="6">
                  <c:v>情绪感知</c:v>
                </c:pt>
                <c:pt idx="7">
                  <c:v>逻辑推理</c:v>
                </c:pt>
                <c:pt idx="8">
                  <c:v>选择教学/学习方法</c:v>
                </c:pt>
                <c:pt idx="9">
                  <c:v>阅读理解</c:v>
                </c:pt>
              </c:strCache>
            </c:strRef>
          </c:cat>
          <c:val>
            <c:numRef>
              <c:f>Sheet2!$J$749:$J$758</c:f>
              <c:numCache>
                <c:formatCode>0.00%</c:formatCode>
                <c:ptCount val="10"/>
                <c:pt idx="0">
                  <c:v>0.9467</c:v>
                </c:pt>
                <c:pt idx="1">
                  <c:v>0.9822</c:v>
                </c:pt>
                <c:pt idx="2">
                  <c:v>0.9812</c:v>
                </c:pt>
                <c:pt idx="3">
                  <c:v>0.9806</c:v>
                </c:pt>
                <c:pt idx="4">
                  <c:v>0.9038</c:v>
                </c:pt>
                <c:pt idx="5">
                  <c:v>0.9133</c:v>
                </c:pt>
                <c:pt idx="6">
                  <c:v>0.9631</c:v>
                </c:pt>
                <c:pt idx="7">
                  <c:v>0.9285</c:v>
                </c:pt>
                <c:pt idx="8">
                  <c:v>0.9762</c:v>
                </c:pt>
                <c:pt idx="9">
                  <c:v>0.9736</c:v>
                </c:pt>
              </c:numCache>
            </c:numRef>
          </c:val>
        </c:ser>
        <c:dLbls>
          <c:showLegendKey val="0"/>
          <c:showVal val="0"/>
          <c:showCatName val="0"/>
          <c:showSerName val="0"/>
          <c:showPercent val="0"/>
          <c:showBubbleSize val="0"/>
        </c:dLbls>
        <c:gapWidth val="150"/>
        <c:axId val="230107008"/>
        <c:axId val="230108544"/>
      </c:barChart>
      <c:catAx>
        <c:axId val="230107008"/>
        <c:scaling>
          <c:orientation val="maxMin"/>
        </c:scaling>
        <c:delete val="0"/>
        <c:axPos val="l"/>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0108544"/>
        <c:crosses val="autoZero"/>
        <c:auto val="1"/>
        <c:lblAlgn val="ctr"/>
        <c:lblOffset val="100"/>
        <c:noMultiLvlLbl val="0"/>
      </c:catAx>
      <c:valAx>
        <c:axId val="230108544"/>
        <c:scaling>
          <c:orientation val="minMax"/>
          <c:min val="0.1"/>
        </c:scaling>
        <c:delete val="1"/>
        <c:axPos val="t"/>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0107008"/>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0.282764873140857"/>
          <c:y val="0.092237532808399"/>
          <c:w val="0.47820384951881"/>
          <c:h val="0.797006415864684"/>
        </c:manualLayout>
      </c:layout>
      <c:radarChart>
        <c:radarStyle val="marker"/>
        <c:varyColors val="0"/>
        <c:ser>
          <c:idx val="0"/>
          <c:order val="0"/>
          <c:dLbls>
            <c:dLbl>
              <c:idx val="0"/>
              <c:layout>
                <c:manualLayout>
                  <c:x val="0.0861111111111111"/>
                  <c:y val="0.041666666666666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
                  <c:y val="0.083333333333333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22222222222222"/>
                  <c:y val="0.046296296296296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05555555555556"/>
                  <c:y val="0.03242894291793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22222222222222"/>
                  <c:y val="0.060185185185185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444444444444444"/>
                  <c:y val="0.087759815242494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Sheet2!$L$770:$L$775</c:f>
              <c:strCache>
                <c:ptCount val="6"/>
                <c:pt idx="0">
                  <c:v>校园招聘活动</c:v>
                </c:pt>
                <c:pt idx="1">
                  <c:v>就业手续办理</c:v>
                </c:pt>
                <c:pt idx="2">
                  <c:v>就业信息提供与发布</c:v>
                </c:pt>
                <c:pt idx="3">
                  <c:v>就业指导</c:v>
                </c:pt>
                <c:pt idx="4">
                  <c:v>职业咨询/辅导</c:v>
                </c:pt>
                <c:pt idx="5">
                  <c:v>就业困难群体帮扶情况</c:v>
                </c:pt>
              </c:strCache>
            </c:strRef>
          </c:cat>
          <c:val>
            <c:numRef>
              <c:f>Sheet2!$M$770:$M$775</c:f>
              <c:numCache>
                <c:formatCode>0.00%</c:formatCode>
                <c:ptCount val="6"/>
                <c:pt idx="0">
                  <c:v>0.933</c:v>
                </c:pt>
                <c:pt idx="1">
                  <c:v>0.9309</c:v>
                </c:pt>
                <c:pt idx="2">
                  <c:v>0.9427</c:v>
                </c:pt>
                <c:pt idx="3">
                  <c:v>0.9255</c:v>
                </c:pt>
                <c:pt idx="4">
                  <c:v>0.9159</c:v>
                </c:pt>
                <c:pt idx="5">
                  <c:v>0.913</c:v>
                </c:pt>
              </c:numCache>
            </c:numRef>
          </c:val>
        </c:ser>
        <c:dLbls>
          <c:showLegendKey val="0"/>
          <c:showVal val="1"/>
          <c:showCatName val="0"/>
          <c:showSerName val="0"/>
          <c:showPercent val="0"/>
          <c:showBubbleSize val="0"/>
        </c:dLbls>
        <c:axId val="230123392"/>
        <c:axId val="230134528"/>
      </c:radarChart>
      <c:catAx>
        <c:axId val="230123392"/>
        <c:scaling>
          <c:orientation val="minMax"/>
        </c:scaling>
        <c:delete val="0"/>
        <c:axPos val="b"/>
        <c:majorGridlines/>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0134528"/>
        <c:crosses val="autoZero"/>
        <c:auto val="1"/>
        <c:lblAlgn val="ctr"/>
        <c:lblOffset val="100"/>
        <c:noMultiLvlLbl val="0"/>
      </c:catAx>
      <c:valAx>
        <c:axId val="230134528"/>
        <c:scaling>
          <c:orientation val="minMax"/>
          <c:min val="0.5"/>
        </c:scaling>
        <c:delete val="1"/>
        <c:axPos val="l"/>
        <c:majorGridlines/>
        <c:numFmt formatCode="0.0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0123392"/>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radarChart>
        <c:radarStyle val="marker"/>
        <c:varyColors val="0"/>
        <c:ser>
          <c:idx val="0"/>
          <c:order val="0"/>
          <c:dLbls>
            <c:dLbl>
              <c:idx val="0"/>
              <c:layout>
                <c:manualLayout>
                  <c:x val="0.0805555555555556"/>
                  <c:y val="0.032407407407407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44444444444444"/>
                  <c:y val="0.078703703703703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46296296296296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833333333333333"/>
                  <c:y val="0.046296296296296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05555555555556"/>
                  <c:y val="0.0740740740740741"/>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Sheet2!$J$803:$J$807</c:f>
              <c:strCache>
                <c:ptCount val="5"/>
                <c:pt idx="0">
                  <c:v>创业社团</c:v>
                </c:pt>
                <c:pt idx="1">
                  <c:v>创业实训与模拟</c:v>
                </c:pt>
                <c:pt idx="2">
                  <c:v>创业相关课程和讲座</c:v>
                </c:pt>
                <c:pt idx="3">
                  <c:v>创新创业大赛</c:v>
                </c:pt>
                <c:pt idx="4">
                  <c:v>创业项目孵化</c:v>
                </c:pt>
              </c:strCache>
            </c:strRef>
          </c:cat>
          <c:val>
            <c:numRef>
              <c:f>Sheet2!$K$803:$K$807</c:f>
              <c:numCache>
                <c:formatCode>###0.00%</c:formatCode>
                <c:ptCount val="5"/>
                <c:pt idx="0">
                  <c:v>0.9783</c:v>
                </c:pt>
                <c:pt idx="1">
                  <c:v>0.9833</c:v>
                </c:pt>
                <c:pt idx="2">
                  <c:v>0.9825</c:v>
                </c:pt>
                <c:pt idx="3">
                  <c:v>0.9786</c:v>
                </c:pt>
                <c:pt idx="4">
                  <c:v>0.9716</c:v>
                </c:pt>
              </c:numCache>
            </c:numRef>
          </c:val>
        </c:ser>
        <c:dLbls>
          <c:showLegendKey val="0"/>
          <c:showVal val="1"/>
          <c:showCatName val="0"/>
          <c:showSerName val="0"/>
          <c:showPercent val="0"/>
          <c:showBubbleSize val="0"/>
        </c:dLbls>
        <c:axId val="230137216"/>
        <c:axId val="259262336"/>
      </c:radarChart>
      <c:catAx>
        <c:axId val="230137216"/>
        <c:scaling>
          <c:orientation val="minMax"/>
        </c:scaling>
        <c:delete val="0"/>
        <c:axPos val="b"/>
        <c:majorGridlines/>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59262336"/>
        <c:crosses val="autoZero"/>
        <c:auto val="1"/>
        <c:lblAlgn val="ctr"/>
        <c:lblOffset val="100"/>
        <c:noMultiLvlLbl val="0"/>
      </c:catAx>
      <c:valAx>
        <c:axId val="259262336"/>
        <c:scaling>
          <c:orientation val="minMax"/>
          <c:min val="0.1"/>
        </c:scaling>
        <c:delete val="1"/>
        <c:axPos val="l"/>
        <c:majorGridlines/>
        <c:numFmt formatCode="###0.0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0137216"/>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pieChart>
        <c:varyColors val="1"/>
        <c:ser>
          <c:idx val="0"/>
          <c:order val="0"/>
          <c:explosion val="0"/>
          <c:dPt>
            <c:idx val="0"/>
            <c:bubble3D val="0"/>
          </c:dPt>
          <c:dPt>
            <c:idx val="1"/>
            <c:bubble3D val="0"/>
          </c:dPt>
          <c:dPt>
            <c:idx val="2"/>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Sheet2!$J$818:$J$820</c:f>
              <c:strCache>
                <c:ptCount val="3"/>
                <c:pt idx="0">
                  <c:v>非常满意</c:v>
                </c:pt>
                <c:pt idx="1">
                  <c:v>比较满意</c:v>
                </c:pt>
                <c:pt idx="2">
                  <c:v>满意</c:v>
                </c:pt>
              </c:strCache>
            </c:strRef>
          </c:cat>
          <c:val>
            <c:numRef>
              <c:f>Sheet2!$K$818:$K$820</c:f>
              <c:numCache>
                <c:formatCode>###0.00%</c:formatCode>
                <c:ptCount val="3"/>
                <c:pt idx="0">
                  <c:v>0.446808510638298</c:v>
                </c:pt>
                <c:pt idx="1">
                  <c:v>0.361702127659574</c:v>
                </c:pt>
                <c:pt idx="2">
                  <c:v>0.191489361702128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explosion val="0"/>
          <c:dPt>
            <c:idx val="0"/>
            <c:bubble3D val="0"/>
          </c:dPt>
          <c:dPt>
            <c:idx val="1"/>
            <c:bubble3D val="0"/>
          </c:dPt>
          <c:dPt>
            <c:idx val="2"/>
            <c:bubble3D val="0"/>
          </c:dPt>
          <c:dPt>
            <c:idx val="3"/>
            <c:bubble3D val="0"/>
          </c:dPt>
          <c:dPt>
            <c:idx val="4"/>
            <c:bubble3D val="0"/>
          </c:dPt>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zh-CN" altLang="en-US"/>
                      <a:t>市内，
</a:t>
                    </a:r>
                    <a:r>
                      <a:rPr lang="en-US" altLang="zh-CN"/>
                      <a:t>85%</a:t>
                    </a:r>
                    <a:endParaRPr lang="zh-CN" altLang="en-US"/>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zh-CN" altLang="en-US"/>
                      <a:t>市外
</a:t>
                    </a:r>
                    <a:r>
                      <a:rPr lang="en-US" altLang="zh-CN"/>
                      <a:t>15%</a:t>
                    </a:r>
                    <a:endParaRPr lang="zh-CN" altLang="en-US"/>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Sheet2!$E$885:$E$888</c:f>
              <c:strCache>
                <c:ptCount val="4"/>
                <c:pt idx="0">
                  <c:v>重庆市</c:v>
                </c:pt>
                <c:pt idx="1">
                  <c:v>四川省</c:v>
                </c:pt>
                <c:pt idx="2">
                  <c:v>河南省</c:v>
                </c:pt>
                <c:pt idx="3">
                  <c:v>其他地区</c:v>
                </c:pt>
              </c:strCache>
            </c:strRef>
          </c:cat>
          <c:val>
            <c:numRef>
              <c:f>Sheet2!$F$885:$F$888</c:f>
              <c:numCache>
                <c:formatCode>0.00%</c:formatCode>
                <c:ptCount val="4"/>
                <c:pt idx="0">
                  <c:v>0.8555</c:v>
                </c:pt>
                <c:pt idx="1">
                  <c:v>0.0682</c:v>
                </c:pt>
                <c:pt idx="2">
                  <c:v>0.0091</c:v>
                </c:pt>
                <c:pt idx="3">
                  <c:v>0.0672</c:v>
                </c:pt>
              </c:numCache>
            </c:numRef>
          </c:val>
        </c:ser>
        <c:dLbls>
          <c:showLegendKey val="0"/>
          <c:showVal val="0"/>
          <c:showCatName val="1"/>
          <c:showSerName val="0"/>
          <c:showPercent val="1"/>
          <c:showBubbleSize val="0"/>
          <c:showLeaderLines val="1"/>
        </c:dLbls>
        <c:gapWidth val="100"/>
        <c:splitType val="pos"/>
        <c:splitPos val="3"/>
        <c:secondPieSize val="75"/>
        <c:serLines/>
      </c:ofPieChart>
    </c:plotArea>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32650328157799"/>
          <c:y val="0.102035936219435"/>
          <c:w val="0.498728882911978"/>
          <c:h val="0.73009831494909"/>
        </c:manualLayout>
      </c:layout>
      <c:doughnutChart>
        <c:varyColors val="1"/>
        <c:ser>
          <c:idx val="0"/>
          <c:order val="0"/>
          <c:explosion val="0"/>
          <c:dPt>
            <c:idx val="0"/>
            <c:bubble3D val="0"/>
          </c:dPt>
          <c:dPt>
            <c:idx val="1"/>
            <c:bubble3D val="0"/>
          </c:dPt>
          <c:dPt>
            <c:idx val="2"/>
            <c:bubble3D val="0"/>
          </c:dPt>
          <c:dLbls>
            <c:dLbl>
              <c:idx val="1"/>
              <c:layout>
                <c:manualLayout>
                  <c:x val="-0.154644076587284"/>
                  <c:y val="-0.0941504238947283"/>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35931447535953"/>
                  <c:y val="-0.0914473721742296"/>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Sheet2!$C$182:$C$184</c:f>
              <c:strCache>
                <c:ptCount val="3"/>
                <c:pt idx="0">
                  <c:v>回生源地就业</c:v>
                </c:pt>
                <c:pt idx="1">
                  <c:v>重庆地区就业</c:v>
                </c:pt>
                <c:pt idx="2">
                  <c:v>其他省份就业</c:v>
                </c:pt>
              </c:strCache>
            </c:strRef>
          </c:cat>
          <c:val>
            <c:numRef>
              <c:f>Sheet2!$D$182:$D$184</c:f>
              <c:numCache>
                <c:formatCode>0.00%</c:formatCode>
                <c:ptCount val="3"/>
                <c:pt idx="0">
                  <c:v>0.976146788990826</c:v>
                </c:pt>
                <c:pt idx="1">
                  <c:v>0.0165137614678899</c:v>
                </c:pt>
                <c:pt idx="2">
                  <c:v>0.0073394495412844</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txPr>
    <a:bodyPr/>
    <a:lstStyle/>
    <a:p>
      <a:pPr>
        <a:defRPr lang="zh-CN"/>
      </a:pP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doughnutChart>
        <c:varyColors val="1"/>
        <c:ser>
          <c:idx val="0"/>
          <c:order val="0"/>
          <c:explosion val="0"/>
          <c:dPt>
            <c:idx val="0"/>
            <c:bubble3D val="0"/>
          </c:dPt>
          <c:dPt>
            <c:idx val="1"/>
            <c:bubble3D val="0"/>
          </c:dPt>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zh-CN" altLang="en-US">
                        <a:solidFill>
                          <a:schemeClr val="tx1"/>
                        </a:solidFill>
                      </a:rPr>
                      <a:t>市外就业
</a:t>
                    </a:r>
                    <a:r>
                      <a:rPr lang="en-US" altLang="zh-CN">
                        <a:solidFill>
                          <a:schemeClr val="tx1"/>
                        </a:solidFill>
                      </a:rPr>
                      <a:t>0.52%</a:t>
                    </a:r>
                    <a:endParaRPr lang="en-US" altLang="zh-CN">
                      <a:solidFill>
                        <a:schemeClr val="bg1"/>
                      </a:solidFill>
                    </a:endParaRPr>
                  </a:p>
                </c:rich>
              </c:tx>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zh-CN" altLang="en-US">
                        <a:solidFill>
                          <a:schemeClr val="tx1"/>
                        </a:solidFill>
                      </a:rPr>
                      <a:t>市内就业
</a:t>
                    </a:r>
                    <a:r>
                      <a:rPr lang="en-US" altLang="zh-CN">
                        <a:solidFill>
                          <a:schemeClr val="tx1"/>
                        </a:solidFill>
                      </a:rPr>
                      <a:t>99.48%</a:t>
                    </a:r>
                    <a:endParaRPr lang="en-US" altLang="zh-CN">
                      <a:solidFill>
                        <a:schemeClr val="bg1"/>
                      </a:solidFill>
                    </a:endParaRPr>
                  </a:p>
                </c:rich>
              </c:tx>
              <c:showLegendKey val="0"/>
              <c:showVal val="0"/>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Sheet2!$G$130:$G$131</c:f>
              <c:strCache>
                <c:ptCount val="2"/>
                <c:pt idx="0">
                  <c:v>省外就业</c:v>
                </c:pt>
                <c:pt idx="1">
                  <c:v>省内就业</c:v>
                </c:pt>
              </c:strCache>
            </c:strRef>
          </c:cat>
          <c:val>
            <c:numRef>
              <c:f>Sheet2!$H$130:$H$131</c:f>
              <c:numCache>
                <c:formatCode>0.00%</c:formatCode>
                <c:ptCount val="2"/>
                <c:pt idx="0">
                  <c:v>0.0052</c:v>
                </c:pt>
                <c:pt idx="1">
                  <c:v>0.9948</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103877045429"/>
          <c:y val="0.187074075073138"/>
          <c:w val="0.485679811065701"/>
          <c:h val="0.707603687200979"/>
        </c:manualLayout>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spPr>
              <a:solidFill>
                <a:schemeClr val="accent1"/>
              </a:solidFill>
            </c:spPr>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Sheet2!$B$229:$B$234</c:f>
              <c:strCache>
                <c:ptCount val="6"/>
                <c:pt idx="0">
                  <c:v>三资企业</c:v>
                </c:pt>
                <c:pt idx="1">
                  <c:v>国有企业</c:v>
                </c:pt>
                <c:pt idx="2">
                  <c:v>部队</c:v>
                </c:pt>
                <c:pt idx="3">
                  <c:v>事业单位</c:v>
                </c:pt>
                <c:pt idx="4">
                  <c:v>医疗卫生单位</c:v>
                </c:pt>
                <c:pt idx="5">
                  <c:v>私营企业</c:v>
                </c:pt>
              </c:strCache>
            </c:strRef>
          </c:cat>
          <c:val>
            <c:numRef>
              <c:f>Sheet2!$C$229:$C$234</c:f>
              <c:numCache>
                <c:formatCode>0.00%</c:formatCode>
                <c:ptCount val="6"/>
                <c:pt idx="0">
                  <c:v>0.000261369576581286</c:v>
                </c:pt>
                <c:pt idx="1">
                  <c:v>0.000522739153162572</c:v>
                </c:pt>
                <c:pt idx="2">
                  <c:v>0.0203868269733403</c:v>
                </c:pt>
                <c:pt idx="3">
                  <c:v>0.11186617877679</c:v>
                </c:pt>
                <c:pt idx="4">
                  <c:v>0.307631991636174</c:v>
                </c:pt>
                <c:pt idx="5">
                  <c:v>0.559330893883952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0990579615048119"/>
          <c:y val="0.0375116652085156"/>
          <c:w val="0.856497594050744"/>
          <c:h val="0.828939195100612"/>
        </c:manualLayout>
      </c:layout>
      <c:lineChart>
        <c:grouping val="standard"/>
        <c:varyColors val="0"/>
        <c:ser>
          <c:idx val="0"/>
          <c:order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Sheet2!$M$36:$M$40</c:f>
              <c:strCache>
                <c:ptCount val="5"/>
                <c:pt idx="0">
                  <c:v>2000元以下</c:v>
                </c:pt>
                <c:pt idx="1">
                  <c:v>2001-3500元</c:v>
                </c:pt>
                <c:pt idx="2">
                  <c:v>3501-4500元</c:v>
                </c:pt>
                <c:pt idx="3">
                  <c:v>4501-6000元</c:v>
                </c:pt>
                <c:pt idx="4">
                  <c:v>6001以上</c:v>
                </c:pt>
              </c:strCache>
            </c:strRef>
          </c:cat>
          <c:val>
            <c:numRef>
              <c:f>Sheet2!$N$36:$N$40</c:f>
              <c:numCache>
                <c:formatCode>0.0%</c:formatCode>
                <c:ptCount val="5"/>
                <c:pt idx="0">
                  <c:v>0.204688154039347</c:v>
                </c:pt>
                <c:pt idx="1">
                  <c:v>0.382586856425283</c:v>
                </c:pt>
                <c:pt idx="2">
                  <c:v>0.120552532440352</c:v>
                </c:pt>
                <c:pt idx="3">
                  <c:v>0.0615320217664295</c:v>
                </c:pt>
                <c:pt idx="4">
                  <c:v>0.0230221850146505</c:v>
                </c:pt>
              </c:numCache>
            </c:numRef>
          </c:val>
          <c:smooth val="1"/>
        </c:ser>
        <c:dLbls>
          <c:showLegendKey val="0"/>
          <c:showVal val="0"/>
          <c:showCatName val="0"/>
          <c:showSerName val="0"/>
          <c:showPercent val="0"/>
          <c:showBubbleSize val="0"/>
        </c:dLbls>
        <c:marker val="1"/>
        <c:smooth val="1"/>
        <c:axId val="180364032"/>
        <c:axId val="180365568"/>
      </c:lineChart>
      <c:catAx>
        <c:axId val="18036403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0365568"/>
        <c:crosses val="autoZero"/>
        <c:auto val="1"/>
        <c:lblAlgn val="ctr"/>
        <c:lblOffset val="100"/>
        <c:noMultiLvlLbl val="0"/>
      </c:catAx>
      <c:valAx>
        <c:axId val="180365568"/>
        <c:scaling>
          <c:orientation val="minMax"/>
        </c:scaling>
        <c:delete val="0"/>
        <c:axPos val="l"/>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0364032"/>
        <c:crosses val="autoZero"/>
        <c:crossBetween val="between"/>
      </c:valAx>
    </c:plotArea>
    <c:plotVisOnly val="1"/>
    <c:dispBlanksAs val="gap"/>
    <c:showDLblsOverMax val="0"/>
  </c:chart>
  <c:txPr>
    <a:bodyPr/>
    <a:lstStyle/>
    <a:p>
      <a:pPr>
        <a:defRPr lang="zh-CN"/>
      </a:pP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419420181585461"/>
          <c:y val="0.0387323943661972"/>
          <c:w val="0.48696818021087"/>
          <c:h val="0.922535211267606"/>
        </c:manualLayout>
      </c:layout>
      <c:barChart>
        <c:barDir val="bar"/>
        <c:grouping val="clustered"/>
        <c:varyColors val="0"/>
        <c:ser>
          <c:idx val="0"/>
          <c:order val="0"/>
          <c:invertIfNegative val="0"/>
          <c:dPt>
            <c:idx val="6"/>
            <c:invertIfNegative val="0"/>
            <c:bubble3D val="0"/>
            <c:spPr>
              <a:solidFill>
                <a:schemeClr val="accent3">
                  <a:lumMod val="75000"/>
                </a:schemeClr>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Sheet2!$K$110:$K$123</c:f>
              <c:strCache>
                <c:ptCount val="14"/>
                <c:pt idx="0">
                  <c:v>农林牧副渔</c:v>
                </c:pt>
                <c:pt idx="1">
                  <c:v>居民服务、修理和其他服务业</c:v>
                </c:pt>
                <c:pt idx="2">
                  <c:v>公共管理、社会保障和社会组织</c:v>
                </c:pt>
                <c:pt idx="3">
                  <c:v>信息传输、软件和信息技术服务业</c:v>
                </c:pt>
                <c:pt idx="4">
                  <c:v>餐饮/住宿/旅游</c:v>
                </c:pt>
                <c:pt idx="5">
                  <c:v>医疗/卫生</c:v>
                </c:pt>
                <c:pt idx="6">
                  <c:v>平均薪水</c:v>
                </c:pt>
                <c:pt idx="7">
                  <c:v>批发零售</c:v>
                </c:pt>
                <c:pt idx="8">
                  <c:v>教育</c:v>
                </c:pt>
                <c:pt idx="9">
                  <c:v>建筑/装修</c:v>
                </c:pt>
                <c:pt idx="10">
                  <c:v>IT互联网</c:v>
                </c:pt>
                <c:pt idx="11">
                  <c:v>制造业</c:v>
                </c:pt>
                <c:pt idx="12">
                  <c:v>金融业</c:v>
                </c:pt>
                <c:pt idx="13">
                  <c:v>文化、体育和娱乐业</c:v>
                </c:pt>
              </c:strCache>
            </c:strRef>
          </c:cat>
          <c:val>
            <c:numRef>
              <c:f>Sheet2!$L$110:$L$123</c:f>
              <c:numCache>
                <c:formatCode>###0.00</c:formatCode>
                <c:ptCount val="14"/>
                <c:pt idx="0">
                  <c:v>2547.62243409127</c:v>
                </c:pt>
                <c:pt idx="1">
                  <c:v>2600.77766243868</c:v>
                </c:pt>
                <c:pt idx="2">
                  <c:v>2754.79044227747</c:v>
                </c:pt>
                <c:pt idx="3">
                  <c:v>2760.80940172927</c:v>
                </c:pt>
                <c:pt idx="4">
                  <c:v>2837.65808918616</c:v>
                </c:pt>
                <c:pt idx="5">
                  <c:v>2870.02314955885</c:v>
                </c:pt>
                <c:pt idx="6">
                  <c:v>2894.55</c:v>
                </c:pt>
                <c:pt idx="7">
                  <c:v>2916.65877713757</c:v>
                </c:pt>
                <c:pt idx="8">
                  <c:v>3103.11877820255</c:v>
                </c:pt>
                <c:pt idx="9">
                  <c:v>3355.05663948494</c:v>
                </c:pt>
                <c:pt idx="10">
                  <c:v>3564.75475276701</c:v>
                </c:pt>
                <c:pt idx="11">
                  <c:v>3724.80148034779</c:v>
                </c:pt>
                <c:pt idx="12">
                  <c:v>4701.29658508681</c:v>
                </c:pt>
                <c:pt idx="13">
                  <c:v>4721.44789031822</c:v>
                </c:pt>
              </c:numCache>
            </c:numRef>
          </c:val>
        </c:ser>
        <c:dLbls>
          <c:showLegendKey val="0"/>
          <c:showVal val="0"/>
          <c:showCatName val="0"/>
          <c:showSerName val="0"/>
          <c:showPercent val="0"/>
          <c:showBubbleSize val="0"/>
        </c:dLbls>
        <c:gapWidth val="150"/>
        <c:axId val="180390912"/>
        <c:axId val="180392704"/>
      </c:barChart>
      <c:catAx>
        <c:axId val="180390912"/>
        <c:scaling>
          <c:orientation val="minMax"/>
        </c:scaling>
        <c:delete val="0"/>
        <c:axPos val="l"/>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0392704"/>
        <c:crosses val="autoZero"/>
        <c:auto val="1"/>
        <c:lblAlgn val="ctr"/>
        <c:lblOffset val="100"/>
        <c:noMultiLvlLbl val="0"/>
      </c:catAx>
      <c:valAx>
        <c:axId val="180392704"/>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0390912"/>
        <c:crosses val="autoZero"/>
        <c:crossBetween val="between"/>
      </c:valAx>
    </c:plotArea>
    <c:plotVisOnly val="1"/>
    <c:dispBlanksAs val="gap"/>
    <c:showDLblsOverMax val="0"/>
  </c:chart>
  <c:txPr>
    <a:bodyPr/>
    <a:lstStyle/>
    <a:p>
      <a:pPr>
        <a:defRPr lang="zh-CN"/>
      </a:pP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0.82085</cdr:x>
      <cdr:y>0.08559</cdr:y>
    </cdr:from>
    <cdr:to>
      <cdr:x>0.96502</cdr:x>
      <cdr:y>0.21212</cdr:y>
    </cdr:to>
    <cdr:sp>
      <cdr:nvSpPr>
        <cdr:cNvPr id="2" name="矩形 1"/>
        <cdr:cNvSpPr/>
      </cdr:nvSpPr>
      <cdr:spPr xmlns:a="http://schemas.openxmlformats.org/drawingml/2006/main">
        <a:xfrm xmlns:a="http://schemas.openxmlformats.org/drawingml/2006/main">
          <a:off x="4917897" y="242140"/>
          <a:ext cx="863778" cy="357936"/>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zh-CN" altLang="en-US" sz="900"/>
            <a:t>单位：人</a:t>
          </a:r>
          <a:endParaRPr lang="zh-CN" altLang="en-US" sz="900"/>
        </a:p>
      </cdr:txBody>
    </cdr:sp>
  </cdr:relSizeAnchor>
</c:userShapes>
</file>

<file path=word/drawings/drawing2.xml><?xml version="1.0" encoding="utf-8"?>
<c:userShapes xmlns:c="http://schemas.openxmlformats.org/drawingml/2006/chart">
  <cdr:relSizeAnchor xmlns:cdr="http://schemas.openxmlformats.org/drawingml/2006/chartDrawing">
    <cdr:from>
      <cdr:x>0.35616</cdr:x>
      <cdr:y>0.44195</cdr:y>
    </cdr:from>
    <cdr:to>
      <cdr:x>0.63853</cdr:x>
      <cdr:y>0.53933</cdr:y>
    </cdr:to>
    <cdr:sp>
      <cdr:nvSpPr>
        <cdr:cNvPr id="2" name="矩形 1"/>
        <cdr:cNvSpPr>
          <a14:cpLocks xmlns:a14="http://schemas.microsoft.com/office/drawing/2010/main" noChangeArrowheads="1"/>
        </cdr:cNvSpPr>
      </cdr:nvSpPr>
      <cdr:spPr xmlns:a="http://schemas.openxmlformats.org/drawingml/2006/main">
        <a:xfrm xmlns:a="http://schemas.openxmlformats.org/drawingml/2006/main">
          <a:off x="1005289" y="852018"/>
          <a:ext cx="797008" cy="187735"/>
        </a:xfrm>
        <a:prstGeom xmlns:a="http://schemas.openxmlformats.org/drawingml/2006/main" prst="rect">
          <a:avLst/>
        </a:prstGeom>
        <a:noFill/>
        <a:ln w="9525">
          <a:noFill/>
          <a:miter lim="800000"/>
        </a:ln>
      </cdr:spPr>
      <cdr:txBody xmlns:a="http://schemas.openxmlformats.org/drawingml/2006/main">
        <a:bodyPr rot="0" vert="horz" wrap="square" lIns="91440" tIns="45720" rIns="91440" bIns="45720" anchor="t" anchorCtr="0">
          <a:noAutofit/>
        </a:bodyPr>
        <a:lstStyle/>
        <a:p>
          <a:r>
            <a:rPr lang="zh-CN" altLang="en-US" b="1"/>
            <a:t>市外生源</a:t>
          </a:r>
          <a:endParaRPr lang="zh-CN" altLang="en-US" b="1"/>
        </a:p>
      </cdr:txBody>
    </cdr:sp>
  </cdr:relSizeAnchor>
</c:userShapes>
</file>

<file path=word/drawings/drawing3.xml><?xml version="1.0" encoding="utf-8"?>
<c:userShapes xmlns:c="http://schemas.openxmlformats.org/drawingml/2006/chart">
  <cdr:relSizeAnchor xmlns:cdr="http://schemas.openxmlformats.org/drawingml/2006/chartDrawing">
    <cdr:from>
      <cdr:x>0.375</cdr:x>
      <cdr:y>0.21528</cdr:y>
    </cdr:from>
    <cdr:to>
      <cdr:x>0.37639</cdr:x>
      <cdr:y>0.90278</cdr:y>
    </cdr:to>
    <cdr:sp>
      <cdr:nvSpPr>
        <cdr:cNvPr id="2" name="直接连接符 1"/>
        <cdr:cNvSpPr/>
      </cdr:nvSpPr>
      <cdr:spPr xmlns:a="http://schemas.openxmlformats.org/drawingml/2006/main">
        <a:xfrm xmlns:a="http://schemas.openxmlformats.org/drawingml/2006/main">
          <a:off x="1714500" y="590550"/>
          <a:ext cx="6350" cy="1885950"/>
        </a:xfrm>
        <a:prstGeom xmlns:a="http://schemas.openxmlformats.org/drawingml/2006/main" prst="line">
          <a:avLst/>
        </a:prstGeom>
        <a:ln>
          <a:solidFill>
            <a:schemeClr val="accent1"/>
          </a:solidFill>
          <a:prstDash val="dashDot"/>
        </a:ln>
      </cdr:spPr>
      <cdr:style>
        <a:lnRef xmlns:a="http://schemas.openxmlformats.org/drawingml/2006/main" idx="2">
          <a:schemeClr val="accent5"/>
        </a:lnRef>
        <a:fillRef xmlns:a="http://schemas.openxmlformats.org/drawingml/2006/main" idx="0">
          <a:schemeClr val="accent5"/>
        </a:fillRef>
        <a:effectRef xmlns:a="http://schemas.openxmlformats.org/drawingml/2006/main" idx="1">
          <a:schemeClr val="accent5"/>
        </a:effectRef>
        <a:fontRef xmlns:a="http://schemas.openxmlformats.org/drawingml/2006/main" idx="minor">
          <a:schemeClr val="tx1"/>
        </a:fontRef>
      </cdr:style>
    </cdr:sp>
  </cdr:relSizeAnchor>
  <cdr:relSizeAnchor xmlns:cdr="http://schemas.openxmlformats.org/drawingml/2006/chartDrawing">
    <cdr:from>
      <cdr:x>0.61667</cdr:x>
      <cdr:y>0.29398</cdr:y>
    </cdr:from>
    <cdr:to>
      <cdr:x>0.91111</cdr:x>
      <cdr:y>0.49769</cdr:y>
    </cdr:to>
    <cdr:sp>
      <cdr:nvSpPr>
        <cdr:cNvPr id="3" name="圆角矩形标注 2"/>
        <cdr:cNvSpPr/>
      </cdr:nvSpPr>
      <cdr:spPr xmlns:a="http://schemas.openxmlformats.org/drawingml/2006/main">
        <a:xfrm xmlns:a="http://schemas.openxmlformats.org/drawingml/2006/main">
          <a:off x="2819400" y="806450"/>
          <a:ext cx="1346200" cy="558800"/>
        </a:xfrm>
        <a:prstGeom xmlns:a="http://schemas.openxmlformats.org/drawingml/2006/main" prst="wedgeRoundRectCallout">
          <a:avLst>
            <a:gd name="adj1" fmla="val -132371"/>
            <a:gd name="adj2" fmla="val -31818"/>
            <a:gd name="adj3" fmla="val 16667"/>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xmlns:a="http://schemas.openxmlformats.org/drawingml/2006/main">
        <a:bodyPr vertOverflow="clip" vert="horz" wrap="square" lIns="45720" tIns="45720" rIns="45720" bIns="45720" anchor="t" anchorCtr="0">
          <a:noAutofit/>
        </a:bodyPr>
        <a:lstStyle/>
        <a:p>
          <a:r>
            <a:rPr lang="zh-CN" altLang="en-US">
              <a:solidFill>
                <a:schemeClr val="tx1"/>
              </a:solidFill>
            </a:rPr>
            <a:t>月平均收入</a:t>
          </a:r>
          <a:r>
            <a:rPr lang="en-US" altLang="zh-CN">
              <a:solidFill>
                <a:schemeClr val="tx1"/>
              </a:solidFill>
            </a:rPr>
            <a:t>2894.55</a:t>
          </a:r>
          <a:r>
            <a:rPr lang="zh-CN" altLang="en-US">
              <a:solidFill>
                <a:schemeClr val="tx1"/>
              </a:solidFill>
            </a:rPr>
            <a:t>元</a:t>
          </a:r>
          <a:endParaRPr lang="zh-CN">
            <a:solidFill>
              <a:schemeClr val="tx1"/>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0.7693</cdr:x>
      <cdr:y>0.84049</cdr:y>
    </cdr:from>
    <cdr:to>
      <cdr:x>0.85688</cdr:x>
      <cdr:y>0.89071</cdr:y>
    </cdr:to>
    <cdr:sp>
      <cdr:nvSpPr>
        <cdr:cNvPr id="2" name="矩形 1"/>
        <cdr:cNvSpPr/>
      </cdr:nvSpPr>
      <cdr:spPr xmlns:a="http://schemas.openxmlformats.org/drawingml/2006/main">
        <a:xfrm xmlns:a="http://schemas.openxmlformats.org/drawingml/2006/main">
          <a:off x="4452731" y="3160644"/>
          <a:ext cx="506896" cy="188843"/>
        </a:xfrm>
        <a:prstGeom xmlns:a="http://schemas.openxmlformats.org/drawingml/2006/main" prst="rect">
          <a:avLst/>
        </a:prstGeom>
        <a:solidFill>
          <a:schemeClr val="bg1"/>
        </a:solidFill>
        <a:l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Overflow="clip" vert="horz" wrap="none" lIns="45720" tIns="45720" rIns="45720" bIns="45720" anchor="t" anchorCtr="0">
          <a:normAutofit/>
        </a:bodyPr>
        <a:lstStyle/>
        <a:p>
          <a:r>
            <a:rPr lang="en-US" altLang="zh-CN" sz="1000">
              <a:solidFill>
                <a:schemeClr val="tx1"/>
              </a:solidFill>
            </a:rPr>
            <a:t>97.09</a:t>
          </a:r>
          <a:endParaRPr lang="zh-CN" sz="1000">
            <a:solidFill>
              <a:schemeClr val="tx1"/>
            </a:solidFill>
          </a:endParaRPr>
        </a:p>
      </cdr:txBody>
    </cdr:sp>
  </cdr:relSizeAnchor>
</c:userShapes>
</file>

<file path=word/theme/theme1.xml><?xml version="1.0" encoding="utf-8"?>
<a:theme xmlns:a="http://schemas.openxmlformats.org/drawingml/2006/main" name="Office 主题​​">
  <a:themeElements>
    <a:clrScheme name="沉稳">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经典">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ln>
      </a:spPr>
      <a:bodyPr rot="0" vert="horz" wrap="square" lIns="91440" tIns="45720" rIns="91440" bIns="45720" anchor="t" anchorCtr="0">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F5F312-46C1-423E-92C4-0E745E10CE11}">
  <ds:schemaRefs/>
</ds:datastoreItem>
</file>

<file path=docProps/app.xml><?xml version="1.0" encoding="utf-8"?>
<Properties xmlns="http://schemas.openxmlformats.org/officeDocument/2006/extended-properties" xmlns:vt="http://schemas.openxmlformats.org/officeDocument/2006/docPropsVTypes">
  <Template>Normal</Template>
  <Company>QY网络技术</Company>
  <Pages>46</Pages>
  <Words>3348</Words>
  <Characters>19087</Characters>
  <Lines>159</Lines>
  <Paragraphs>44</Paragraphs>
  <TotalTime>11</TotalTime>
  <ScaleCrop>false</ScaleCrop>
  <LinksUpToDate>false</LinksUpToDate>
  <CharactersWithSpaces>22391</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2018-12-26T05:35:00Z</dcterms:created>
  <dc:creator>Windows 7 QY系统</dc:creator>
  <cp:lastModifiedBy>Administrator</cp:lastModifiedBy>
  <dcterms:modified xsi:type="dcterms:W3CDTF">2018-12-28T04:11:09Z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